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4F" w:rsidRPr="007D3571" w:rsidRDefault="00A8274F" w:rsidP="007D3571">
      <w:pPr>
        <w:spacing w:after="0" w:line="240" w:lineRule="auto"/>
        <w:ind w:firstLine="720"/>
        <w:jc w:val="center"/>
        <w:rPr>
          <w:b/>
        </w:rPr>
      </w:pPr>
      <w:r w:rsidRPr="007D3571">
        <w:rPr>
          <w:b/>
        </w:rPr>
        <w:t>Экологическая и противопожарная безопасность помещений</w:t>
      </w:r>
    </w:p>
    <w:p w:rsidR="007D3571" w:rsidRPr="007D3571" w:rsidRDefault="00A8274F" w:rsidP="007D3571">
      <w:pPr>
        <w:spacing w:after="0" w:line="240" w:lineRule="auto"/>
        <w:ind w:firstLine="720"/>
        <w:jc w:val="center"/>
        <w:rPr>
          <w:b/>
        </w:rPr>
      </w:pPr>
      <w:r w:rsidRPr="007D3571">
        <w:rPr>
          <w:b/>
        </w:rPr>
        <w:t xml:space="preserve">при внутренней отделке </w:t>
      </w:r>
      <w:r w:rsidR="007D3571" w:rsidRPr="007D3571">
        <w:rPr>
          <w:b/>
        </w:rPr>
        <w:t xml:space="preserve">экологически и </w:t>
      </w:r>
      <w:proofErr w:type="spellStart"/>
      <w:r w:rsidR="007D3571" w:rsidRPr="007D3571">
        <w:rPr>
          <w:b/>
        </w:rPr>
        <w:t>пожаробезопасными</w:t>
      </w:r>
      <w:proofErr w:type="spellEnd"/>
      <w:r w:rsidR="007D3571" w:rsidRPr="007D3571">
        <w:rPr>
          <w:b/>
        </w:rPr>
        <w:t xml:space="preserve"> отделочными материалами</w:t>
      </w:r>
    </w:p>
    <w:p w:rsidR="002E624D" w:rsidRDefault="002E624D" w:rsidP="007D3571">
      <w:pPr>
        <w:spacing w:after="0" w:line="240" w:lineRule="auto"/>
        <w:ind w:firstLine="720"/>
        <w:jc w:val="both"/>
        <w:rPr>
          <w:lang w:val="en-US"/>
        </w:rPr>
      </w:pPr>
    </w:p>
    <w:p w:rsidR="00A8274F" w:rsidRPr="008D75B6" w:rsidRDefault="00A8274F" w:rsidP="007D3571">
      <w:pPr>
        <w:spacing w:after="0" w:line="240" w:lineRule="auto"/>
        <w:ind w:firstLine="720"/>
        <w:jc w:val="both"/>
      </w:pPr>
      <w:r w:rsidRPr="008D75B6">
        <w:t>Печальная статистика пожаров, огненных катастроф, людских трагедий, о которых регулярно сообщают новостные ленты и СМИ говорит о том, что около 80% случаев гибели людей при пожаре происходит от удушья и отравления токсичными продуктами горения. Очень часто даже имея пути к спасению, люди не успевают ими воспользоваться, теряют сознание и задыхаются смертельным дымом, который выделяют при пожаре большинство популярных отделочных материалов. В их состав часто входит ПВХ (винил и прочие пластики). Беда приходит без предварительного согласования и уведомления, поэтому крайне важным становится организация предупредительных, профилактических мер, которые помогают избежать человеческих жертв. Не секрет, что во многих общественных, лечебных, образовательных, дошкольных и других социальных учреждениях используются отделочные материалы, экологическая безопасность и огнестойкость которых далеки от необходимых требований.</w:t>
      </w:r>
    </w:p>
    <w:p w:rsidR="00A8274F" w:rsidRPr="008D75B6" w:rsidRDefault="00A8274F" w:rsidP="007D3571">
      <w:pPr>
        <w:spacing w:after="0" w:line="240" w:lineRule="auto"/>
        <w:ind w:firstLine="720"/>
        <w:jc w:val="both"/>
      </w:pPr>
      <w:r w:rsidRPr="008D75B6">
        <w:t xml:space="preserve">В отличие от таких опасных материалов, </w:t>
      </w:r>
      <w:r w:rsidR="007D3571">
        <w:t xml:space="preserve">на отечественном рынке присутствуют вполне бюджетные, но абсолютно безопасные отделочные материалы, к числу которых, в первую очередь, </w:t>
      </w:r>
      <w:r w:rsidR="002C5097">
        <w:t>следует</w:t>
      </w:r>
      <w:r w:rsidR="007D3571">
        <w:t xml:space="preserve"> отнести </w:t>
      </w:r>
      <w:r w:rsidRPr="008D75B6">
        <w:t>стеклотканевые обои</w:t>
      </w:r>
      <w:r w:rsidR="007D3571">
        <w:t xml:space="preserve"> (стеклообои). Стеклообои </w:t>
      </w:r>
      <w:r w:rsidRPr="008D75B6">
        <w:t xml:space="preserve">обладают рядом уникальных характеристик. Исходные компоненты - натуральные природные материалы: кварцевый песок, сода, известняк и глина. Тканая фактура стеклотканевых обоев формирует здоровый  микроклимат в помещении и естественный </w:t>
      </w:r>
      <w:proofErr w:type="spellStart"/>
      <w:r w:rsidRPr="008D75B6">
        <w:t>влаго</w:t>
      </w:r>
      <w:proofErr w:type="spellEnd"/>
      <w:r w:rsidRPr="008D75B6">
        <w:t xml:space="preserve"> и воздухообмен, защищая от появления грибка и плесени. Срок службы стеклотканевых обоев достигает 30 лет, на протяжении которых допускается до 20 перекрашиваний. Это настенное покрытие не накапливает статического напряжения, за счёт чего на нём не скапливается бытовая пыль. </w:t>
      </w:r>
      <w:proofErr w:type="gramStart"/>
      <w:r w:rsidRPr="008D75B6">
        <w:t>Мыть и очищать стеклотканевые обои можно с применением любых не только бытовых, но и профессиональных чистящих составов, поскольку это самое крепкой настенное рулонное покрытие, повредить которое на стене при стандартной эксплуатации почти невозможно.</w:t>
      </w:r>
      <w:proofErr w:type="gramEnd"/>
      <w:r w:rsidRPr="008D75B6">
        <w:t xml:space="preserve"> Обладающие экстремальной прочностью, стеклотканевые обои не только крайне трудно повредить, они ещё и защищают саму стену от появления трещин, что позволит значительно экономить на косметических ремонтах.</w:t>
      </w:r>
    </w:p>
    <w:p w:rsidR="00A8274F" w:rsidRPr="008D75B6" w:rsidRDefault="00A8274F" w:rsidP="007D3571">
      <w:pPr>
        <w:spacing w:after="0" w:line="240" w:lineRule="auto"/>
        <w:ind w:firstLine="720"/>
        <w:jc w:val="both"/>
      </w:pPr>
      <w:proofErr w:type="gramStart"/>
      <w:r w:rsidRPr="008D75B6">
        <w:t xml:space="preserve">Согласно </w:t>
      </w:r>
      <w:r w:rsidR="007D3571">
        <w:t xml:space="preserve">данным </w:t>
      </w:r>
      <w:r w:rsidRPr="008D75B6">
        <w:t>санитарно-эпидемиологическ</w:t>
      </w:r>
      <w:r w:rsidR="007D3571">
        <w:t>их</w:t>
      </w:r>
      <w:r w:rsidRPr="008D75B6">
        <w:t xml:space="preserve"> </w:t>
      </w:r>
      <w:r w:rsidR="007D3571">
        <w:t>экспертиз</w:t>
      </w:r>
      <w:r w:rsidRPr="008D75B6">
        <w:t>, стеклотканевые обои могут быть использованы для внутренней отделки жилых и общественных зданий и сооружений всех категорий, в том числе: детских, дошкольных, школьных, научных, лечебно-профилактических, санаторно-курортных учреждений, больниц, поликлиник, гостиниц, аэропортов, ж/</w:t>
      </w:r>
      <w:proofErr w:type="spellStart"/>
      <w:r w:rsidRPr="008D75B6">
        <w:t>д</w:t>
      </w:r>
      <w:proofErr w:type="spellEnd"/>
      <w:r w:rsidRPr="008D75B6">
        <w:t xml:space="preserve"> вокзалов, кинотеатров, театров, музеев, предприятий торговли, общественного питания и пищевой промышленности. </w:t>
      </w:r>
      <w:proofErr w:type="gramEnd"/>
    </w:p>
    <w:p w:rsidR="00A8274F" w:rsidRPr="008D75B6" w:rsidRDefault="00A8274F" w:rsidP="007D3571">
      <w:pPr>
        <w:spacing w:after="0" w:line="240" w:lineRule="auto"/>
        <w:ind w:firstLine="644"/>
        <w:jc w:val="both"/>
      </w:pPr>
      <w:r w:rsidRPr="008D75B6">
        <w:t xml:space="preserve">В отличие от привычных небезопасных отделочных материалов, стеклотканевые обои обладают уникальными противопожарными характеристиками. </w:t>
      </w:r>
      <w:proofErr w:type="spellStart"/>
      <w:r w:rsidR="007D3571">
        <w:t>Стеклообоям</w:t>
      </w:r>
      <w:proofErr w:type="spellEnd"/>
      <w:r w:rsidR="007D3571">
        <w:t xml:space="preserve"> ведущих производителей при</w:t>
      </w:r>
      <w:r w:rsidRPr="008D75B6">
        <w:t>своены высшие для рулонных материалов показатели по классам: Г</w:t>
      </w:r>
      <w:proofErr w:type="gramStart"/>
      <w:r w:rsidRPr="008D75B6">
        <w:t>1</w:t>
      </w:r>
      <w:proofErr w:type="gramEnd"/>
      <w:r w:rsidRPr="008D75B6">
        <w:t xml:space="preserve"> - </w:t>
      </w:r>
      <w:proofErr w:type="spellStart"/>
      <w:r w:rsidRPr="008D75B6">
        <w:t>слабогорючие</w:t>
      </w:r>
      <w:proofErr w:type="spellEnd"/>
      <w:r w:rsidRPr="008D75B6">
        <w:t>, В1 – трудновоспламеняемые, Т1 - малоопасные по токсичности продуктов горения и Д</w:t>
      </w:r>
      <w:r>
        <w:t>1</w:t>
      </w:r>
      <w:r w:rsidRPr="008D75B6">
        <w:t xml:space="preserve"> – обладающие </w:t>
      </w:r>
      <w:r>
        <w:t>малой дымообразующей способностью. За счёт этих показателей, стеклотканевые обои отн</w:t>
      </w:r>
      <w:r w:rsidR="007D3571">
        <w:t>е</w:t>
      </w:r>
      <w:r>
        <w:t>сены к классу строительных материалов КМ</w:t>
      </w:r>
      <w:proofErr w:type="gramStart"/>
      <w:r>
        <w:t>1</w:t>
      </w:r>
      <w:proofErr w:type="gramEnd"/>
      <w:r>
        <w:t>.</w:t>
      </w:r>
      <w:r w:rsidRPr="008D75B6">
        <w:t xml:space="preserve"> Дополнительные испытания стеклотканевых обоев на распространение пламени также зафиксировали лучший показатель по этому классу – РП</w:t>
      </w:r>
      <w:proofErr w:type="gramStart"/>
      <w:r w:rsidRPr="008D75B6">
        <w:t>1</w:t>
      </w:r>
      <w:proofErr w:type="gramEnd"/>
      <w:r w:rsidRPr="008D75B6">
        <w:t xml:space="preserve"> (</w:t>
      </w:r>
      <w:proofErr w:type="spellStart"/>
      <w:r w:rsidRPr="008D75B6">
        <w:t>нераспространяющие</w:t>
      </w:r>
      <w:proofErr w:type="spellEnd"/>
      <w:r w:rsidRPr="008D75B6">
        <w:t xml:space="preserve"> пламя). На практике это означает, что стеклотканевые обои не поддерживают горения и не выделяют токсичных веще</w:t>
      </w:r>
      <w:proofErr w:type="gramStart"/>
      <w:r w:rsidRPr="008D75B6">
        <w:t>ств пр</w:t>
      </w:r>
      <w:proofErr w:type="gramEnd"/>
      <w:r w:rsidRPr="008D75B6">
        <w:t>и контакте с огнём. Такие уникальные характеристики заслуживают особого внимания в связи с участившимися случаями пожаров в Российской Федерации, сопряжённых с гибелью людей.</w:t>
      </w:r>
    </w:p>
    <w:p w:rsidR="00A8274F" w:rsidRPr="008D75B6" w:rsidRDefault="00A8274F" w:rsidP="007D3571">
      <w:pPr>
        <w:spacing w:after="0" w:line="240" w:lineRule="auto"/>
        <w:ind w:firstLine="720"/>
        <w:jc w:val="both"/>
      </w:pPr>
      <w:r w:rsidRPr="008D75B6">
        <w:t xml:space="preserve">По данным специалистов пожарных служб и МЧС, минимально возможный реальный срок прибытия пожарной команды в крупном мегаполисе составляет около 5-8 минут. За это время температура в горящем помещении, отделанном небезопасными, горючими материалами, уже давно переваливает через смертельно опасную границу и составляет около 500 градусов, продолжая стремительно повышаться по мере увеличения площади возгорания. Помимо этого, большинство горючих отделочных материалов выделяют токсичные вещества, смертельно опасное </w:t>
      </w:r>
      <w:proofErr w:type="gramStart"/>
      <w:r w:rsidRPr="008D75B6">
        <w:t>отравление</w:t>
      </w:r>
      <w:proofErr w:type="gramEnd"/>
      <w:r w:rsidRPr="008D75B6">
        <w:t xml:space="preserve"> которыми происходит уже после третьего вдоха. Даже взрослый и физически здоровый человек в пожаре, при высокой температуре воздуха и токсичном задымлении теряет ориентацию и паникует, непроизвольно начиная дышать чаще. Дети и люди с ограниченными возможностями (пациенты больниц, родильных домов, контингент домов престарелых и инвалидов) не могут в таких условиях действовать адекватно сложной ситуации, и риск для их жизней по много раз увеличивается.</w:t>
      </w:r>
    </w:p>
    <w:p w:rsidR="00A8274F" w:rsidRPr="008D75B6" w:rsidRDefault="00A8274F" w:rsidP="007D3571">
      <w:pPr>
        <w:spacing w:after="0" w:line="240" w:lineRule="auto"/>
        <w:ind w:firstLine="720"/>
        <w:jc w:val="both"/>
      </w:pPr>
      <w:r w:rsidRPr="008D75B6">
        <w:t>Большинство горючих отделочных материалов способствуют быстрому распространению пламени по поверхности, воспламеняя по пути ковровые покрытия, шторы, горючие элементы мебели. В таких условиях, в помещении площадью около 40-50 кв.м. (учебный класс, общая палата больницы, спальня детского сада и т.п.) пожар за 10 минут может уничтожить практически всё, если отделочные материалы не сдерживают распространение пламени, а наоборот – активно его распространяют.</w:t>
      </w:r>
    </w:p>
    <w:p w:rsidR="00A8274F" w:rsidRPr="008D75B6" w:rsidRDefault="00A8274F" w:rsidP="007D3571">
      <w:pPr>
        <w:spacing w:after="0" w:line="240" w:lineRule="auto"/>
        <w:ind w:firstLine="720"/>
        <w:jc w:val="both"/>
      </w:pPr>
      <w:r w:rsidRPr="008D75B6">
        <w:lastRenderedPageBreak/>
        <w:t>В недавно распространённом в Европе учебном фильме, снятом Шведским Национальным Институтом Испытаний и Исследований в сотрудничестве с Европейской Комиссией очень наглядно продемонстрирована смертельная опасность огня в помещении, отделанном небезопасными материалами.</w:t>
      </w:r>
    </w:p>
    <w:p w:rsidR="00A8274F" w:rsidRDefault="00A8274F" w:rsidP="007D3571">
      <w:pPr>
        <w:spacing w:after="0" w:line="240" w:lineRule="auto"/>
        <w:ind w:firstLine="720"/>
        <w:jc w:val="both"/>
      </w:pPr>
      <w:r w:rsidRPr="008D75B6">
        <w:t>Начальные кадры поджога помещения, оклеенного стеклотканевыми обоями, выглядят аналогично предыдущим, но уже всего через минуту Вы видите разительное отличие в развитии пожара. В течение всего времени эксперимента (15 минут) температура в помещении, оклеенном стеклотканевыми обоями, не превысила критические значения, и стеклотканевые обои не дали огню распространиться.</w:t>
      </w:r>
    </w:p>
    <w:p w:rsidR="00A8274F" w:rsidRDefault="00A8274F" w:rsidP="007D3571">
      <w:pPr>
        <w:spacing w:after="0" w:line="240" w:lineRule="auto"/>
        <w:ind w:firstLine="720"/>
        <w:jc w:val="both"/>
      </w:pPr>
    </w:p>
    <w:p w:rsidR="007D3571" w:rsidRPr="008D75B6" w:rsidRDefault="007D3571" w:rsidP="007D3571">
      <w:pPr>
        <w:spacing w:after="0" w:line="240" w:lineRule="auto"/>
        <w:ind w:firstLine="720"/>
        <w:jc w:val="both"/>
        <w:sectPr w:rsidR="007D3571" w:rsidRPr="008D75B6" w:rsidSect="007D3571">
          <w:footerReference w:type="even" r:id="rId7"/>
          <w:footerReference w:type="default" r:id="rId8"/>
          <w:type w:val="continuous"/>
          <w:pgSz w:w="11906" w:h="16838"/>
          <w:pgMar w:top="476" w:right="678" w:bottom="168" w:left="756" w:header="708" w:footer="708" w:gutter="0"/>
          <w:cols w:space="522"/>
          <w:docGrid w:linePitch="360"/>
        </w:sectPr>
      </w:pP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4"/>
        <w:gridCol w:w="5092"/>
      </w:tblGrid>
      <w:tr w:rsidR="00A8274F" w:rsidTr="002A7373">
        <w:tc>
          <w:tcPr>
            <w:tcW w:w="5404" w:type="dxa"/>
            <w:shd w:val="clear" w:color="auto" w:fill="FF99CC"/>
          </w:tcPr>
          <w:p w:rsidR="00A8274F" w:rsidRPr="00385171" w:rsidRDefault="00A8274F" w:rsidP="007D3571">
            <w:pPr>
              <w:spacing w:line="240" w:lineRule="auto"/>
              <w:jc w:val="center"/>
            </w:pPr>
            <w:r w:rsidRPr="0089506A">
              <w:rPr>
                <w:b/>
                <w:bCs/>
              </w:rPr>
              <w:lastRenderedPageBreak/>
              <w:t>Привычные отделочные материалы</w:t>
            </w:r>
          </w:p>
        </w:tc>
        <w:tc>
          <w:tcPr>
            <w:tcW w:w="5092" w:type="dxa"/>
            <w:shd w:val="clear" w:color="auto" w:fill="CCFFCC"/>
          </w:tcPr>
          <w:p w:rsidR="00A8274F" w:rsidRDefault="00A8274F" w:rsidP="007D3571">
            <w:pPr>
              <w:spacing w:line="240" w:lineRule="auto"/>
              <w:jc w:val="center"/>
            </w:pPr>
            <w:r w:rsidRPr="0089506A">
              <w:rPr>
                <w:b/>
                <w:bCs/>
              </w:rPr>
              <w:t>Стеклотканевые обои</w:t>
            </w:r>
          </w:p>
        </w:tc>
      </w:tr>
      <w:tr w:rsidR="00A8274F" w:rsidTr="002A7373">
        <w:tc>
          <w:tcPr>
            <w:tcW w:w="5404" w:type="dxa"/>
            <w:shd w:val="clear" w:color="auto" w:fill="FF99CC"/>
          </w:tcPr>
          <w:p w:rsidR="00A8274F" w:rsidRDefault="00A8274F" w:rsidP="007D3571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4125" cy="1657350"/>
                  <wp:effectExtent l="19050" t="0" r="9525" b="0"/>
                  <wp:docPr id="1" name="Рисунок 1" descr="Горючие материалы_начало пожара_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рючие материалы_начало пожара_s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shd w:val="clear" w:color="auto" w:fill="CCFFCC"/>
          </w:tcPr>
          <w:p w:rsidR="00A8274F" w:rsidRDefault="00A8274F" w:rsidP="007D3571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19350" cy="1657350"/>
                  <wp:effectExtent l="19050" t="0" r="0" b="0"/>
                  <wp:docPr id="2" name="Рисунок 2" descr="Негорючие материалы_начало пожара-2_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горючие материалы_начало пожара-2_s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74F" w:rsidTr="002A7373">
        <w:tc>
          <w:tcPr>
            <w:tcW w:w="5404" w:type="dxa"/>
            <w:shd w:val="clear" w:color="auto" w:fill="FF99CC"/>
          </w:tcPr>
          <w:p w:rsidR="00A8274F" w:rsidRDefault="00A8274F" w:rsidP="007D3571">
            <w:pPr>
              <w:spacing w:line="240" w:lineRule="auto"/>
              <w:jc w:val="center"/>
            </w:pPr>
            <w:r w:rsidRPr="0089506A">
              <w:rPr>
                <w:sz w:val="20"/>
                <w:szCs w:val="20"/>
              </w:rPr>
              <w:t>2 минуты после начала пожара. Очаг возгорания небольшой и его можно ликвидировать самостоятельно, температура воздуха 30°С.</w:t>
            </w:r>
          </w:p>
        </w:tc>
        <w:tc>
          <w:tcPr>
            <w:tcW w:w="5092" w:type="dxa"/>
            <w:shd w:val="clear" w:color="auto" w:fill="CCFFCC"/>
          </w:tcPr>
          <w:p w:rsidR="00A8274F" w:rsidRDefault="00A8274F" w:rsidP="007D3571">
            <w:pPr>
              <w:spacing w:line="240" w:lineRule="auto"/>
              <w:jc w:val="center"/>
            </w:pPr>
            <w:r w:rsidRPr="0089506A">
              <w:rPr>
                <w:sz w:val="20"/>
                <w:szCs w:val="20"/>
              </w:rPr>
              <w:t>1 минута после начала пожара. Очаг возгорания небольшой и его можно ликвидировать самостоятельно, температура воздуха 25°С.</w:t>
            </w:r>
          </w:p>
        </w:tc>
      </w:tr>
      <w:tr w:rsidR="00A8274F" w:rsidTr="002A7373">
        <w:tc>
          <w:tcPr>
            <w:tcW w:w="5404" w:type="dxa"/>
            <w:shd w:val="clear" w:color="auto" w:fill="FF99CC"/>
          </w:tcPr>
          <w:p w:rsidR="00A8274F" w:rsidRDefault="00A8274F" w:rsidP="007D3571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43175" cy="1724025"/>
                  <wp:effectExtent l="19050" t="0" r="9525" b="0"/>
                  <wp:docPr id="3" name="Рисунок 3" descr="Горючие материалы_середина пожара_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рючие материалы_середина пожара_s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shd w:val="clear" w:color="auto" w:fill="CCFFCC"/>
          </w:tcPr>
          <w:p w:rsidR="00A8274F" w:rsidRDefault="00A8274F" w:rsidP="007D3571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38425" cy="1666875"/>
                  <wp:effectExtent l="19050" t="0" r="9525" b="0"/>
                  <wp:docPr id="4" name="Рисунок 4" descr="Негорючие материалы_начало пожара-1_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егорючие материалы_начало пожара-1_s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74F" w:rsidTr="002A7373">
        <w:tc>
          <w:tcPr>
            <w:tcW w:w="5404" w:type="dxa"/>
            <w:shd w:val="clear" w:color="auto" w:fill="FF99CC"/>
          </w:tcPr>
          <w:p w:rsidR="00A8274F" w:rsidRDefault="00A8274F" w:rsidP="007D3571">
            <w:pPr>
              <w:spacing w:line="240" w:lineRule="auto"/>
              <w:jc w:val="center"/>
            </w:pPr>
            <w:r w:rsidRPr="0089506A">
              <w:rPr>
                <w:sz w:val="20"/>
                <w:szCs w:val="20"/>
              </w:rPr>
              <w:t>5,5 минут после начала пожара. Помещение сильно задымлено. Пожар уничтожает помещение. Самостоятельно ликвидировать пожар невозможно. Температура воздуха 530</w:t>
            </w:r>
            <w:proofErr w:type="gramStart"/>
            <w:r w:rsidRPr="0089506A">
              <w:rPr>
                <w:sz w:val="20"/>
                <w:szCs w:val="20"/>
              </w:rPr>
              <w:t>°С</w:t>
            </w:r>
            <w:proofErr w:type="gramEnd"/>
            <w:r w:rsidRPr="0089506A">
              <w:rPr>
                <w:sz w:val="20"/>
                <w:szCs w:val="20"/>
              </w:rPr>
              <w:t xml:space="preserve"> - несовместима с жизнью.</w:t>
            </w:r>
          </w:p>
        </w:tc>
        <w:tc>
          <w:tcPr>
            <w:tcW w:w="5092" w:type="dxa"/>
            <w:shd w:val="clear" w:color="auto" w:fill="CCFFCC"/>
          </w:tcPr>
          <w:p w:rsidR="00A8274F" w:rsidRDefault="00A8274F" w:rsidP="007D3571">
            <w:pPr>
              <w:spacing w:line="240" w:lineRule="auto"/>
              <w:jc w:val="center"/>
            </w:pPr>
            <w:r w:rsidRPr="0089506A">
              <w:rPr>
                <w:sz w:val="20"/>
                <w:szCs w:val="20"/>
              </w:rPr>
              <w:t>15 минут после начала пожара. Огонь не распространяется по помещению. На протяжении всего эксперимента есть возможность самостоятельно ликвидировать пожар. Температура воздуха почти не повышается (30°С). Отсутствует ярко выраженное задымление.</w:t>
            </w:r>
          </w:p>
        </w:tc>
      </w:tr>
      <w:tr w:rsidR="00A8274F" w:rsidTr="002A7373">
        <w:tc>
          <w:tcPr>
            <w:tcW w:w="5404" w:type="dxa"/>
            <w:shd w:val="clear" w:color="auto" w:fill="FF99CC"/>
          </w:tcPr>
          <w:p w:rsidR="00A8274F" w:rsidRDefault="00A8274F" w:rsidP="007D3571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00325" cy="1590675"/>
                  <wp:effectExtent l="19050" t="0" r="9525" b="0"/>
                  <wp:docPr id="5" name="Рисунок 5" descr="Горючие материалы_эксперимент прекращён, требуется вмешательство пожарных_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рючие материалы_эксперимент прекращён, требуется вмешательство пожарных_s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shd w:val="clear" w:color="auto" w:fill="CCFFCC"/>
          </w:tcPr>
          <w:p w:rsidR="00A8274F" w:rsidRDefault="00A8274F" w:rsidP="007D3571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47925" cy="1581150"/>
                  <wp:effectExtent l="19050" t="0" r="9525" b="0"/>
                  <wp:docPr id="6" name="Рисунок 6" descr="Негорючие материалы_конец пожара-1_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егорючие материалы_конец пожара-1_s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74F" w:rsidTr="002A7373">
        <w:tc>
          <w:tcPr>
            <w:tcW w:w="5404" w:type="dxa"/>
            <w:shd w:val="clear" w:color="auto" w:fill="FF99CC"/>
          </w:tcPr>
          <w:p w:rsidR="00A8274F" w:rsidRDefault="00A8274F" w:rsidP="007D3571">
            <w:pPr>
              <w:spacing w:line="240" w:lineRule="auto"/>
              <w:jc w:val="center"/>
            </w:pPr>
            <w:r w:rsidRPr="0089506A">
              <w:rPr>
                <w:sz w:val="20"/>
                <w:szCs w:val="20"/>
              </w:rPr>
              <w:t>Через 6 минут эксперимент  прекращён. Помещение полностью уничтожено. Минимальные нормативы прибытия пожарного расчёта – 6-8 минут.</w:t>
            </w:r>
          </w:p>
        </w:tc>
        <w:tc>
          <w:tcPr>
            <w:tcW w:w="5092" w:type="dxa"/>
            <w:shd w:val="clear" w:color="auto" w:fill="CCFFCC"/>
          </w:tcPr>
          <w:p w:rsidR="00A8274F" w:rsidRPr="0089506A" w:rsidRDefault="00A8274F" w:rsidP="007D35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</w:rPr>
              <w:t>Через 15 минут очаг возгорания, истощив свой ресурс горения, затухает сам. Повреждения в помещении незначительные, которые можно легко ликвидировать.</w:t>
            </w:r>
          </w:p>
          <w:p w:rsidR="00A8274F" w:rsidRDefault="00A8274F" w:rsidP="007D3571">
            <w:pPr>
              <w:spacing w:line="240" w:lineRule="auto"/>
              <w:jc w:val="both"/>
            </w:pPr>
          </w:p>
        </w:tc>
      </w:tr>
    </w:tbl>
    <w:p w:rsidR="00A8274F" w:rsidRPr="007D3571" w:rsidRDefault="00A8274F" w:rsidP="0021065F">
      <w:pPr>
        <w:spacing w:after="0" w:line="240" w:lineRule="auto"/>
        <w:jc w:val="center"/>
        <w:rPr>
          <w:b/>
        </w:rPr>
      </w:pPr>
      <w:r w:rsidRPr="007D3571">
        <w:rPr>
          <w:b/>
        </w:rPr>
        <w:lastRenderedPageBreak/>
        <w:t>Защита дошкольных и других образовательных учреждений</w:t>
      </w:r>
    </w:p>
    <w:p w:rsidR="00A8274F" w:rsidRDefault="00A8274F" w:rsidP="0021065F">
      <w:pPr>
        <w:spacing w:after="0" w:line="240" w:lineRule="auto"/>
        <w:jc w:val="center"/>
        <w:rPr>
          <w:b/>
        </w:rPr>
      </w:pPr>
      <w:r w:rsidRPr="007D3571">
        <w:rPr>
          <w:b/>
        </w:rPr>
        <w:t>с помощью стеклотканевых обоев</w:t>
      </w:r>
    </w:p>
    <w:p w:rsidR="007D3571" w:rsidRDefault="007D3571" w:rsidP="007D3571">
      <w:pPr>
        <w:spacing w:after="0" w:line="240" w:lineRule="auto"/>
        <w:ind w:firstLine="720"/>
        <w:jc w:val="center"/>
        <w:sectPr w:rsidR="007D3571" w:rsidSect="007D3571">
          <w:type w:val="continuous"/>
          <w:pgSz w:w="11906" w:h="16838"/>
          <w:pgMar w:top="755" w:right="678" w:bottom="1119" w:left="1260" w:header="708" w:footer="708" w:gutter="0"/>
          <w:cols w:space="708"/>
          <w:docGrid w:linePitch="360"/>
        </w:sectPr>
      </w:pPr>
    </w:p>
    <w:p w:rsidR="00A8274F" w:rsidRDefault="00A8274F" w:rsidP="007D3571">
      <w:pPr>
        <w:spacing w:after="0" w:line="240" w:lineRule="auto"/>
        <w:ind w:firstLine="720"/>
        <w:jc w:val="both"/>
      </w:pPr>
      <w:r>
        <w:lastRenderedPageBreak/>
        <w:t xml:space="preserve">Дошкольное образование в Москве, как и в любом мегаполисе, является областью, которая сопряжена с обширным объёмом проблем и задач. Среди них можно особо выделить задачу регулярного поддержания внутренних помещений детских дошкольных учреждений в чистом и привлекательном состоянии, которое одновременно должно обеспечивать высокий уровень экологической и противопожарной безопасности. </w:t>
      </w:r>
    </w:p>
    <w:p w:rsidR="00A8274F" w:rsidRDefault="00A8274F" w:rsidP="007D3571">
      <w:pPr>
        <w:spacing w:after="0" w:line="240" w:lineRule="auto"/>
        <w:ind w:firstLine="720"/>
        <w:jc w:val="both"/>
      </w:pPr>
      <w:r>
        <w:t xml:space="preserve">Типовых зданий, предназначенных для различного рода дошкольных образовательных учреждений (ДОУ), в Москве не больше десятка. Из всех проектов, типовой проект 3-этажного ДОУ </w:t>
      </w:r>
      <w:r w:rsidRPr="007D3571">
        <w:t>VI</w:t>
      </w:r>
      <w:r>
        <w:t xml:space="preserve">-52 в.2, рассчитанный на 12 групп, на наш взгляд выглядит наиболее  безопасным с противопожарной точки зрения. В нём 6 пожарных лестниц, ведущих со второго этажа (непосредственно из помещений спален) и 12 путей эвакуации, ведущих из внутренних помещений на улицу. </w:t>
      </w:r>
    </w:p>
    <w:p w:rsidR="00A8274F" w:rsidRDefault="00A8274F" w:rsidP="007D3571">
      <w:pPr>
        <w:spacing w:after="0" w:line="240" w:lineRule="auto"/>
        <w:ind w:firstLine="720"/>
        <w:jc w:val="both"/>
      </w:pPr>
      <w:r>
        <w:t xml:space="preserve">Печальнее обстоят дела со зданиями более старой постройки, в которых, зачастую, запланировано всего 2-3 запасных выхода, помимо основного. А пожарных лестниц с верхних этажей нет и подавно. </w:t>
      </w:r>
    </w:p>
    <w:p w:rsidR="00A8274F" w:rsidRDefault="00A8274F" w:rsidP="007D3571">
      <w:pPr>
        <w:spacing w:after="0" w:line="240" w:lineRule="auto"/>
        <w:ind w:firstLine="720"/>
        <w:jc w:val="both"/>
      </w:pPr>
      <w:proofErr w:type="gramStart"/>
      <w:r>
        <w:t xml:space="preserve">Если рассмотреть средние показатели площадей в обычных ДОУ, можно сказать, что зал для музыкальных и гимнастических занятий в среднем имеет около </w:t>
      </w:r>
      <w:smartTag w:uri="urn:schemas-microsoft-com:office:smarttags" w:element="metricconverter">
        <w:smartTagPr>
          <w:attr w:name="ProductID" w:val="70 кв. м"/>
        </w:smartTagPr>
        <w:r>
          <w:t>70 кв. м</w:t>
        </w:r>
      </w:smartTag>
      <w:r>
        <w:t xml:space="preserve">. Соответственно, площадь стен и потолка в этом помещении высотой </w:t>
      </w:r>
      <w:smartTag w:uri="urn:schemas-microsoft-com:office:smarttags" w:element="metricconverter">
        <w:smartTagPr>
          <w:attr w:name="ProductID" w:val="3 метра"/>
        </w:smartTagPr>
        <w:r>
          <w:t>3 метра</w:t>
        </w:r>
      </w:smartTag>
      <w:r>
        <w:t xml:space="preserve"> составляет около 140 кв.м. Средний размер групповых и спален находится в пределах 50 кв.м. –  в этих помещениях площадь поверхностей составляет 110 кв.м</w:t>
      </w:r>
      <w:proofErr w:type="gramEnd"/>
      <w:r>
        <w:t xml:space="preserve">. В таких условиях  крайне важным становится подход к выбору материалов для отделки стен и потолка, поскольку возможная площадь возгорания является довольно обширной. </w:t>
      </w:r>
    </w:p>
    <w:p w:rsidR="00A8274F" w:rsidRDefault="00A8274F" w:rsidP="007D3571">
      <w:pPr>
        <w:spacing w:after="0" w:line="240" w:lineRule="auto"/>
        <w:ind w:firstLine="720"/>
        <w:jc w:val="both"/>
      </w:pPr>
      <w:r>
        <w:t>Поскольку полностью устранить риск возникновения пожара практически невозможно, на первый план выходит задача обеспечения максимального уровня безопасности через применение отделочных материалов, не поддерживающих горение, не способствующих распространению пламени и не выделяющих опасных токсичных веще</w:t>
      </w:r>
      <w:proofErr w:type="gramStart"/>
      <w:r>
        <w:t>ств пр</w:t>
      </w:r>
      <w:proofErr w:type="gramEnd"/>
      <w:r>
        <w:t>и контакте с огнём.</w:t>
      </w:r>
    </w:p>
    <w:p w:rsidR="00A8274F" w:rsidRDefault="00A8274F" w:rsidP="007D3571">
      <w:pPr>
        <w:spacing w:after="0" w:line="240" w:lineRule="auto"/>
        <w:ind w:firstLine="720"/>
        <w:jc w:val="both"/>
      </w:pPr>
      <w:r w:rsidRPr="001A08F3">
        <w:t>В</w:t>
      </w:r>
      <w:r>
        <w:t>ажно помнить, что по действующему законодательству, в</w:t>
      </w:r>
      <w:r w:rsidRPr="001A08F3">
        <w:t xml:space="preserve"> спальных и палатных помещениях, а также в помещениях зданий детских дошкольных образовательных учреждений не допускается применять декоративно-отделочные материалы и покрытия полов с более высокой пожарной опасностью, чем класс КМ</w:t>
      </w:r>
      <w:proofErr w:type="gramStart"/>
      <w:r w:rsidRPr="001A08F3">
        <w:t>2</w:t>
      </w:r>
      <w:proofErr w:type="gramEnd"/>
      <w:r w:rsidRPr="001A08F3">
        <w:t>.</w:t>
      </w:r>
      <w:r>
        <w:t xml:space="preserve"> Этому требованию полностью соответствуют стеклотканевые обои и малярные стеклохолсты</w:t>
      </w:r>
      <w:r w:rsidR="0021065F">
        <w:t>.</w:t>
      </w:r>
    </w:p>
    <w:p w:rsidR="00A8274F" w:rsidRDefault="0021065F" w:rsidP="00A8274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279400</wp:posOffset>
            </wp:positionV>
            <wp:extent cx="3155315" cy="1962150"/>
            <wp:effectExtent l="19050" t="0" r="6985" b="0"/>
            <wp:wrapNone/>
            <wp:docPr id="11" name="Рисунок 2" descr="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У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80010</wp:posOffset>
            </wp:positionV>
            <wp:extent cx="2051050" cy="2559050"/>
            <wp:effectExtent l="19050" t="0" r="6350" b="0"/>
            <wp:wrapNone/>
            <wp:docPr id="9" name="Рисунок 8" descr="detskiy_sad_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tskiy_sad_fir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74F" w:rsidRDefault="00A8274F" w:rsidP="00A8274F">
      <w:pPr>
        <w:jc w:val="both"/>
        <w:sectPr w:rsidR="00A8274F" w:rsidSect="007D3571">
          <w:type w:val="continuous"/>
          <w:pgSz w:w="11906" w:h="16838"/>
          <w:pgMar w:top="755" w:right="678" w:bottom="1119" w:left="756" w:header="708" w:footer="708" w:gutter="0"/>
          <w:cols w:space="708"/>
          <w:docGrid w:linePitch="360"/>
        </w:sectPr>
      </w:pPr>
    </w:p>
    <w:p w:rsidR="00A8274F" w:rsidRPr="00A94377" w:rsidRDefault="00A8274F" w:rsidP="00A8274F"/>
    <w:p w:rsidR="00A8274F" w:rsidRDefault="00A8274F" w:rsidP="00A8274F"/>
    <w:p w:rsidR="00A8274F" w:rsidRDefault="00A8274F" w:rsidP="00A8274F"/>
    <w:p w:rsidR="00A8274F" w:rsidRDefault="00A8274F" w:rsidP="00A8274F"/>
    <w:p w:rsidR="00A8274F" w:rsidRDefault="00A8274F" w:rsidP="00A8274F"/>
    <w:p w:rsidR="00A8274F" w:rsidRDefault="00A8274F" w:rsidP="00A8274F"/>
    <w:p w:rsidR="00A8274F" w:rsidRDefault="00A8274F" w:rsidP="00A8274F"/>
    <w:p w:rsidR="00A8274F" w:rsidRDefault="00770042" w:rsidP="00A827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4.8pt;margin-top:15.05pt;width:245pt;height:151.65pt;z-index:251661312" fillcolor="silver" stroked="f">
            <v:textbox style="mso-next-textbox:#_x0000_s1027">
              <w:txbxContent>
                <w:p w:rsidR="00A8274F" w:rsidRPr="003560F4" w:rsidRDefault="00A8274F" w:rsidP="0021065F">
                  <w:pPr>
                    <w:spacing w:line="240" w:lineRule="auto"/>
                    <w:ind w:hanging="28"/>
                    <w:jc w:val="both"/>
                    <w:rPr>
                      <w:b/>
                    </w:rPr>
                  </w:pPr>
                  <w:r>
                    <w:t xml:space="preserve">Это </w:t>
                  </w:r>
                  <w:r w:rsidRPr="003560F4">
                    <w:t xml:space="preserve">помещение ДОУ </w:t>
                  </w:r>
                  <w:r>
                    <w:t xml:space="preserve">полностью </w:t>
                  </w:r>
                  <w:r w:rsidRPr="003560F4">
                    <w:t xml:space="preserve">отделано </w:t>
                  </w:r>
                  <w:r>
                    <w:t>опасными</w:t>
                  </w:r>
                  <w:r w:rsidRPr="003560F4">
                    <w:t xml:space="preserve"> покрытиями на основе ПВХ (виниловые обои, линолеум, окна ПВХ). При пожаре этот зал в течение 2-3 минут </w:t>
                  </w:r>
                  <w:r>
                    <w:t xml:space="preserve">может </w:t>
                  </w:r>
                  <w:r w:rsidRPr="003560F4">
                    <w:t>стат</w:t>
                  </w:r>
                  <w:r>
                    <w:t>ь</w:t>
                  </w:r>
                  <w:r w:rsidRPr="003560F4">
                    <w:t xml:space="preserve"> смертельной ловушкой</w:t>
                  </w:r>
                  <w:r>
                    <w:t xml:space="preserve">. Замена настенных покрытий на стеклотканевые обои </w:t>
                  </w:r>
                  <w:r>
                    <w:rPr>
                      <w:lang w:val="en-US"/>
                    </w:rPr>
                    <w:t>Wellton</w:t>
                  </w:r>
                  <w:r>
                    <w:t xml:space="preserve"> значительно повысит пожарную безопасность этого помещения.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23.8pt;margin-top:15.05pt;width:254.8pt;height:151.65pt;z-index:251673600" fillcolor="silver" stroked="f">
            <v:textbox style="mso-next-textbox:#_x0000_s1039">
              <w:txbxContent>
                <w:p w:rsidR="00A8274F" w:rsidRDefault="00A8274F" w:rsidP="0021065F">
                  <w:pPr>
                    <w:spacing w:line="240" w:lineRule="auto"/>
                    <w:jc w:val="both"/>
                  </w:pPr>
                  <w:r>
                    <w:t xml:space="preserve">На примере распространённого в Москве типового проекта трёхэтажного ДОУ на 12 групп (2МГ-04-3), рассмотрим сценарий неблагоприятного развития ситуации, которая может возникнуть при возгорании одного из лестничных холлов. </w:t>
                  </w:r>
                </w:p>
                <w:p w:rsidR="00A8274F" w:rsidRPr="009E6B43" w:rsidRDefault="00A8274F" w:rsidP="0021065F">
                  <w:pPr>
                    <w:spacing w:line="240" w:lineRule="auto"/>
                  </w:pPr>
                  <w:r>
                    <w:t>Аналогичные крайне опасные зоны можно без труда найти почти в любом другом типовом проекте ДОУ.</w:t>
                  </w:r>
                </w:p>
              </w:txbxContent>
            </v:textbox>
          </v:shape>
        </w:pict>
      </w:r>
    </w:p>
    <w:p w:rsidR="00A8274F" w:rsidRDefault="00A8274F" w:rsidP="00A8274F"/>
    <w:p w:rsidR="00A8274F" w:rsidRDefault="00A8274F" w:rsidP="00A8274F"/>
    <w:p w:rsidR="00A8274F" w:rsidRDefault="00A8274F" w:rsidP="00A8274F"/>
    <w:p w:rsidR="00A8274F" w:rsidRDefault="00A8274F" w:rsidP="00A8274F"/>
    <w:p w:rsidR="00A8274F" w:rsidRDefault="00A8274F" w:rsidP="00A8274F"/>
    <w:p w:rsidR="00A8274F" w:rsidRDefault="00A8274F" w:rsidP="0021065F">
      <w:pPr>
        <w:jc w:val="center"/>
      </w:pPr>
      <w:r>
        <w:rPr>
          <w:b/>
        </w:rPr>
        <w:lastRenderedPageBreak/>
        <w:t>Применение стеклотканевых обоев в учреждениях здравоохранения и социальной поддержки престарелых и инвалидов</w:t>
      </w:r>
    </w:p>
    <w:p w:rsidR="00A8274F" w:rsidRDefault="00A8274F" w:rsidP="00A8274F">
      <w:pPr>
        <w:jc w:val="both"/>
        <w:sectPr w:rsidR="00A8274F" w:rsidSect="00D25152">
          <w:type w:val="continuous"/>
          <w:pgSz w:w="11906" w:h="16838"/>
          <w:pgMar w:top="755" w:right="678" w:bottom="1119" w:left="1260" w:header="708" w:footer="708" w:gutter="0"/>
          <w:cols w:space="708"/>
          <w:docGrid w:linePitch="360"/>
        </w:sectPr>
      </w:pPr>
    </w:p>
    <w:p w:rsidR="00A8274F" w:rsidRDefault="00A8274F" w:rsidP="00B66C07">
      <w:pPr>
        <w:spacing w:after="0" w:line="240" w:lineRule="auto"/>
        <w:ind w:firstLine="720"/>
        <w:jc w:val="both"/>
      </w:pPr>
      <w:r>
        <w:lastRenderedPageBreak/>
        <w:t>Организация эффективной работы медицинского учреждения является весьма сложной задачей. Одним из наиболее трудоёмких аспектов этой задачи является поддержание помещений в чистом и аккуратном состоянии. Большая проходимость, повреждение отдельных участков стен, касание медицинскими тележками и передвижными медицинскими приборами, суровая санитарная обработка поверхностей, появление трещин из-за усадки зданий, накапливание грязи и пыли на стенах, неясные противопожарные характеристики покрытий, вскрывающиеся при регулярных «пожарных» проверках</w:t>
      </w:r>
      <w:r w:rsidRPr="008059E1">
        <w:t xml:space="preserve"> – </w:t>
      </w:r>
      <w:r>
        <w:t xml:space="preserve">лишь часть проблем. Общеизвестно, что многие строительные материалы содержат вредные вещества, которые могут негативно влиять  на самочувствие пациентов и персонала учреждения. </w:t>
      </w:r>
    </w:p>
    <w:p w:rsidR="00B66C07" w:rsidRDefault="00B66C07" w:rsidP="00B66C07">
      <w:pPr>
        <w:spacing w:after="0" w:line="240" w:lineRule="auto"/>
        <w:ind w:firstLine="720"/>
        <w:jc w:val="both"/>
      </w:pPr>
    </w:p>
    <w:p w:rsidR="00A8274F" w:rsidRDefault="00A8274F" w:rsidP="00B66C07">
      <w:pPr>
        <w:spacing w:after="0" w:line="240" w:lineRule="auto"/>
        <w:ind w:firstLine="720"/>
        <w:jc w:val="both"/>
      </w:pPr>
      <w:r>
        <w:t xml:space="preserve">Немаловажно и то, что в пациенты больниц зачастую являются людьми с ограниченной вследствие травм или заболеваний мобильностью. Особенно это касается детей, людей пожилого возраста, лиц, страдающих психическими заболеваниями. При возникновении пожара эти люди становятся полностью беспомощными, а эвакуация их из горящего здания бывает сильно осложнена отсутствием специальных средств и запретом на использование лифтов во время пожара. </w:t>
      </w:r>
    </w:p>
    <w:p w:rsidR="00B66C07" w:rsidRDefault="00B66C07" w:rsidP="00B66C07">
      <w:pPr>
        <w:spacing w:after="0" w:line="240" w:lineRule="auto"/>
        <w:ind w:firstLine="720"/>
        <w:jc w:val="both"/>
      </w:pPr>
    </w:p>
    <w:p w:rsidR="00A8274F" w:rsidRDefault="00A8274F" w:rsidP="00B66C07">
      <w:pPr>
        <w:spacing w:after="0" w:line="240" w:lineRule="auto"/>
        <w:ind w:firstLine="720"/>
        <w:jc w:val="both"/>
      </w:pPr>
      <w:r>
        <w:t xml:space="preserve">На практике, полная эвакуация пациентов и персонала больницы на 40-50 коек занимает около 30 минут. Проведённые испытания показывают, что уже через 5 минут после начала пожара в очаге возгорания не может выжить ни один, даже очень здоровый человек. В то же самое время, в больнице, стены которой оклеены стеклотканевыми обоями, на протяжении довольно длительного времени можно вполне комфортно ожидать своей очереди на эвакуацию, не опасаясь отравления продуктами горения от настенных покрытий, что доказано в эксперименте Шведского Национального Института Испытаний и Исследований. </w:t>
      </w:r>
    </w:p>
    <w:p w:rsidR="00B66C07" w:rsidRDefault="00B66C07" w:rsidP="00B66C07">
      <w:pPr>
        <w:spacing w:after="0" w:line="240" w:lineRule="auto"/>
        <w:ind w:firstLine="720"/>
        <w:jc w:val="both"/>
      </w:pPr>
    </w:p>
    <w:p w:rsidR="00A8274F" w:rsidRDefault="00A8274F" w:rsidP="00B66C07">
      <w:pPr>
        <w:spacing w:after="0" w:line="240" w:lineRule="auto"/>
        <w:ind w:firstLine="720"/>
        <w:jc w:val="both"/>
      </w:pPr>
      <w:r>
        <w:t xml:space="preserve">В этом отношении примечателен европейский опыт использования стеклотканевых обоев в медицинских учреждениях. По данным специалистов, в Швеции до 80% родильных домов оклеены стеклотканевыми обоями, которые в этой стране получили уникальный сертификат, доказывающий их безопасность для аллергиков. </w:t>
      </w:r>
    </w:p>
    <w:p w:rsidR="0021065F" w:rsidRDefault="0021065F" w:rsidP="00A8274F">
      <w:pPr>
        <w:rPr>
          <w:b/>
        </w:rPr>
        <w:sectPr w:rsidR="0021065F" w:rsidSect="0021065F">
          <w:type w:val="continuous"/>
          <w:pgSz w:w="11906" w:h="16838"/>
          <w:pgMar w:top="755" w:right="678" w:bottom="1119" w:left="756" w:header="708" w:footer="708" w:gutter="0"/>
          <w:cols w:space="438"/>
          <w:docGrid w:linePitch="360"/>
        </w:sectPr>
      </w:pPr>
    </w:p>
    <w:p w:rsidR="00A8274F" w:rsidRDefault="00B66C07" w:rsidP="00A8274F">
      <w:pPr>
        <w:rPr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73025</wp:posOffset>
            </wp:positionV>
            <wp:extent cx="2943225" cy="2076450"/>
            <wp:effectExtent l="19050" t="0" r="9525" b="0"/>
            <wp:wrapNone/>
            <wp:docPr id="7" name="Рисунок 7" descr="Коридор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идор_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65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-200025</wp:posOffset>
            </wp:positionH>
            <wp:positionV relativeFrom="page">
              <wp:posOffset>5505450</wp:posOffset>
            </wp:positionV>
            <wp:extent cx="2987040" cy="2057400"/>
            <wp:effectExtent l="19050" t="0" r="3810" b="0"/>
            <wp:wrapNone/>
            <wp:docPr id="8" name="Рисунок 5" descr="war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d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74F" w:rsidRDefault="00A8274F" w:rsidP="00A8274F">
      <w:pPr>
        <w:rPr>
          <w:b/>
        </w:rPr>
      </w:pPr>
    </w:p>
    <w:p w:rsidR="00A8274F" w:rsidRDefault="00A8274F" w:rsidP="00A8274F">
      <w:pPr>
        <w:rPr>
          <w:b/>
        </w:rPr>
      </w:pPr>
    </w:p>
    <w:p w:rsidR="00A8274F" w:rsidRDefault="00A8274F" w:rsidP="00A8274F">
      <w:pPr>
        <w:rPr>
          <w:b/>
        </w:rPr>
      </w:pPr>
    </w:p>
    <w:p w:rsidR="00A8274F" w:rsidRDefault="00A8274F" w:rsidP="00A8274F">
      <w:pPr>
        <w:rPr>
          <w:b/>
        </w:rPr>
      </w:pPr>
    </w:p>
    <w:p w:rsidR="00A8274F" w:rsidRDefault="00A8274F" w:rsidP="00A8274F">
      <w:pPr>
        <w:rPr>
          <w:b/>
        </w:rPr>
      </w:pPr>
    </w:p>
    <w:p w:rsidR="00A8274F" w:rsidRDefault="00770042" w:rsidP="00A8274F">
      <w:pPr>
        <w:rPr>
          <w:b/>
        </w:rPr>
      </w:pPr>
      <w:r w:rsidRPr="00770042">
        <w:rPr>
          <w:noProof/>
        </w:rPr>
        <w:pict>
          <v:shape id="_x0000_s1028" type="#_x0000_t202" style="position:absolute;margin-left:255.75pt;margin-top:24.75pt;width:231pt;height:158pt;z-index:251662336" fillcolor="silver" stroked="f">
            <v:textbox style="mso-next-textbox:#_x0000_s1028">
              <w:txbxContent>
                <w:p w:rsidR="00A8274F" w:rsidRPr="002F13B3" w:rsidRDefault="00A8274F" w:rsidP="0021065F">
                  <w:pPr>
                    <w:spacing w:line="240" w:lineRule="auto"/>
                    <w:ind w:firstLine="644"/>
                    <w:jc w:val="both"/>
                  </w:pPr>
                  <w:r w:rsidRPr="007D6593">
                    <w:t>Отделка стен коридора больницы пластиковыми панелями (ПВХ). При пожаре в этом коридоре нельзя будет пройти 10-</w:t>
                  </w:r>
                  <w:smartTag w:uri="urn:schemas-microsoft-com:office:smarttags" w:element="metricconverter">
                    <w:smartTagPr>
                      <w:attr w:name="ProductID" w:val="15 метров"/>
                    </w:smartTagPr>
                    <w:r w:rsidRPr="007D6593">
                      <w:t>15 метров</w:t>
                    </w:r>
                  </w:smartTag>
                  <w:r w:rsidRPr="007D6593">
                    <w:t xml:space="preserve"> без вреда для здоровья.</w:t>
                  </w:r>
                </w:p>
              </w:txbxContent>
            </v:textbox>
          </v:shape>
        </w:pict>
      </w:r>
      <w:r w:rsidRPr="00770042">
        <w:rPr>
          <w:noProof/>
        </w:rPr>
        <w:pict>
          <v:shape id="_x0000_s1030" type="#_x0000_t202" style="position:absolute;margin-left:-15.75pt;margin-top:24.75pt;width:235.5pt;height:158pt;z-index:251664384" fillcolor="silver" stroked="f">
            <v:textbox style="mso-next-textbox:#_x0000_s1030">
              <w:txbxContent>
                <w:p w:rsidR="00A8274F" w:rsidRPr="002F13B3" w:rsidRDefault="00A8274F" w:rsidP="0021065F">
                  <w:pPr>
                    <w:spacing w:line="240" w:lineRule="auto"/>
                    <w:ind w:firstLine="644"/>
                    <w:jc w:val="both"/>
                  </w:pPr>
                  <w:r>
                    <w:t>Фотография «уникальной», внешне идеальной палаты платного отделения больницы. При возникновении пожара эта комната в течение 2 минут превращается в страшную газовую камеру, наполненную ядовитыми продуктами горения, поскольку все стены и даже потолок в палате отделаны панелями ПВХ, а на полу настелен линолеум, основу которого также составляет ПВХ.</w:t>
                  </w:r>
                </w:p>
              </w:txbxContent>
            </v:textbox>
          </v:shape>
        </w:pict>
      </w:r>
    </w:p>
    <w:p w:rsidR="00A8274F" w:rsidRDefault="00A8274F" w:rsidP="00A8274F">
      <w:pPr>
        <w:rPr>
          <w:b/>
        </w:rPr>
      </w:pPr>
    </w:p>
    <w:p w:rsidR="00A8274F" w:rsidRDefault="00A8274F" w:rsidP="00A8274F">
      <w:pPr>
        <w:rPr>
          <w:b/>
        </w:rPr>
      </w:pPr>
    </w:p>
    <w:p w:rsidR="00A8274F" w:rsidRDefault="00A8274F" w:rsidP="00A8274F">
      <w:pPr>
        <w:rPr>
          <w:b/>
        </w:rPr>
      </w:pPr>
    </w:p>
    <w:p w:rsidR="00A8274F" w:rsidRDefault="00A8274F" w:rsidP="00A8274F">
      <w:pPr>
        <w:rPr>
          <w:b/>
        </w:rPr>
      </w:pPr>
    </w:p>
    <w:p w:rsidR="00A8274F" w:rsidRDefault="00A8274F" w:rsidP="00A8274F">
      <w:pPr>
        <w:rPr>
          <w:b/>
        </w:rPr>
      </w:pPr>
    </w:p>
    <w:p w:rsidR="00A8274F" w:rsidRPr="00496EE4" w:rsidRDefault="00A8274F" w:rsidP="00A8274F">
      <w:pPr>
        <w:rPr>
          <w:b/>
        </w:rPr>
      </w:pPr>
    </w:p>
    <w:p w:rsidR="00A8274F" w:rsidRDefault="00A8274F" w:rsidP="00A8274F"/>
    <w:p w:rsidR="00A8274F" w:rsidRDefault="00A8274F" w:rsidP="00A8274F">
      <w:pPr>
        <w:jc w:val="center"/>
        <w:rPr>
          <w:b/>
        </w:rPr>
      </w:pPr>
      <w:r w:rsidRPr="006F1DDE">
        <w:rPr>
          <w:b/>
        </w:rPr>
        <w:lastRenderedPageBreak/>
        <w:t xml:space="preserve">Обеспечение </w:t>
      </w:r>
      <w:r>
        <w:rPr>
          <w:b/>
        </w:rPr>
        <w:t xml:space="preserve">пожарной и экологической </w:t>
      </w:r>
      <w:r w:rsidRPr="006F1DDE">
        <w:rPr>
          <w:b/>
        </w:rPr>
        <w:t xml:space="preserve">безопасности </w:t>
      </w:r>
      <w:r>
        <w:rPr>
          <w:b/>
        </w:rPr>
        <w:t>спортивных сооружений за счёт внутренней отделки стеклотканевыми обоями.</w:t>
      </w:r>
      <w:r w:rsidRPr="006F1DDE">
        <w:rPr>
          <w:b/>
        </w:rPr>
        <w:t xml:space="preserve"> </w:t>
      </w:r>
    </w:p>
    <w:p w:rsidR="00A8274F" w:rsidRDefault="00A8274F" w:rsidP="00A8274F">
      <w:pPr>
        <w:jc w:val="both"/>
        <w:sectPr w:rsidR="00A8274F" w:rsidSect="00D25152">
          <w:type w:val="continuous"/>
          <w:pgSz w:w="11906" w:h="16838"/>
          <w:pgMar w:top="755" w:right="678" w:bottom="1119" w:left="1260" w:header="708" w:footer="708" w:gutter="0"/>
          <w:cols w:space="708"/>
          <w:docGrid w:linePitch="360"/>
        </w:sectPr>
      </w:pPr>
    </w:p>
    <w:p w:rsidR="00A8274F" w:rsidRDefault="00A8274F" w:rsidP="00B66C07">
      <w:pPr>
        <w:spacing w:after="0" w:line="240" w:lineRule="auto"/>
        <w:ind w:firstLine="720"/>
        <w:jc w:val="both"/>
      </w:pPr>
      <w:r>
        <w:lastRenderedPageBreak/>
        <w:t xml:space="preserve">Занятия спортом в своей основе предполагают укрепление здоровья и повышение жизненного тонуса. И даже пассивное созерцание спортивных состязаний с трибун улучшает организм не только эмоционально, но и физически. </w:t>
      </w:r>
    </w:p>
    <w:p w:rsidR="00B66C07" w:rsidRPr="002E624D" w:rsidRDefault="00B66C07" w:rsidP="00B66C07">
      <w:pPr>
        <w:spacing w:after="0" w:line="240" w:lineRule="auto"/>
        <w:ind w:firstLine="720"/>
        <w:jc w:val="both"/>
      </w:pPr>
    </w:p>
    <w:p w:rsidR="00A8274F" w:rsidRDefault="00A8274F" w:rsidP="00B66C07">
      <w:pPr>
        <w:spacing w:after="0" w:line="240" w:lineRule="auto"/>
        <w:ind w:firstLine="720"/>
        <w:jc w:val="both"/>
      </w:pPr>
      <w:r>
        <w:t xml:space="preserve">Но и заниматься спортом, и «болеть» за свою команду, конечно же, нужно в </w:t>
      </w:r>
      <w:proofErr w:type="spellStart"/>
      <w:r>
        <w:t>пожаробезопасных</w:t>
      </w:r>
      <w:proofErr w:type="spellEnd"/>
      <w:r>
        <w:t xml:space="preserve"> и экологически чистых спортивных сооружениях.</w:t>
      </w:r>
    </w:p>
    <w:p w:rsidR="00B66C07" w:rsidRPr="002E624D" w:rsidRDefault="00B66C07" w:rsidP="00B66C07">
      <w:pPr>
        <w:spacing w:after="0" w:line="240" w:lineRule="auto"/>
        <w:ind w:firstLine="720"/>
        <w:jc w:val="both"/>
      </w:pPr>
    </w:p>
    <w:p w:rsidR="00A8274F" w:rsidRDefault="00A8274F" w:rsidP="00B66C07">
      <w:pPr>
        <w:spacing w:after="0" w:line="240" w:lineRule="auto"/>
        <w:ind w:firstLine="720"/>
        <w:jc w:val="both"/>
      </w:pPr>
      <w:r>
        <w:t>Вопросам всесторонней безопасности стадионов, спортивных залов и клубов в нашей стране уделяется недостаточное внимание, и все мы становимся свидетелями чрезвычайных ситуаций, с пугающей периодичностью возникающих в стенах спортивных сооружений.</w:t>
      </w:r>
    </w:p>
    <w:p w:rsidR="00B66C07" w:rsidRPr="002E624D" w:rsidRDefault="00B66C07" w:rsidP="00B66C07">
      <w:pPr>
        <w:spacing w:after="0" w:line="240" w:lineRule="auto"/>
        <w:ind w:firstLine="720"/>
        <w:jc w:val="both"/>
      </w:pPr>
    </w:p>
    <w:p w:rsidR="00A8274F" w:rsidRDefault="00A8274F" w:rsidP="00B66C07">
      <w:pPr>
        <w:spacing w:after="0" w:line="240" w:lineRule="auto"/>
        <w:ind w:firstLine="720"/>
        <w:jc w:val="both"/>
      </w:pPr>
      <w:r>
        <w:t>В подавляющем большинстве развитых стран все без исключения спортивные сооружения проходят строгую пожарную аттестацию, которая включает в себя не только скрупулезно засекаемое время полной эвакуации зрителей с трибун и спортсменов из тренировочных залов, но и оценку применённых на объекте строительных и отделочных материалов.</w:t>
      </w:r>
    </w:p>
    <w:p w:rsidR="00B66C07" w:rsidRPr="002E624D" w:rsidRDefault="00B66C07" w:rsidP="00B66C07">
      <w:pPr>
        <w:spacing w:after="0" w:line="240" w:lineRule="auto"/>
        <w:ind w:firstLine="720"/>
        <w:jc w:val="both"/>
      </w:pPr>
    </w:p>
    <w:p w:rsidR="00A8274F" w:rsidRDefault="00A8274F" w:rsidP="00B66C07">
      <w:pPr>
        <w:spacing w:after="0" w:line="240" w:lineRule="auto"/>
        <w:ind w:firstLine="720"/>
        <w:jc w:val="both"/>
      </w:pPr>
      <w:r>
        <w:t>В нашей стране существуют нормы пожарной безопасности для спортивных сооружений, которые отнесены к классам пожарной опасности  2.1. и 3.6. Класс 3.6 – включает в себя физкультурно-оздоровительные комплексы и спортивно-тренировочные учреждения без трибун для зрителей. К более строгому классу 2.1 относятся спортивные сооружения с трибунами для зрителей. Любые внутренние помещения и даже пути эвакуации зданий класса 3.6 могут почти без ограничения оклеиваться стеклотканевыми обоями и малярными стеклохолстами. Такие же требования предъявляются к помещениям спортивных сооружений с трибунами для зрителей. В них малярные стеклохолсты и стеклотканевые обои</w:t>
      </w:r>
      <w:r w:rsidRPr="0089506A">
        <w:t xml:space="preserve"> </w:t>
      </w:r>
      <w:r>
        <w:t xml:space="preserve">могут применяться </w:t>
      </w:r>
      <w:r w:rsidRPr="009A43A8">
        <w:t>также почти без ограничений</w:t>
      </w:r>
      <w:r>
        <w:t>.</w:t>
      </w:r>
    </w:p>
    <w:p w:rsidR="00B66C07" w:rsidRPr="00B66C07" w:rsidRDefault="00B66C07" w:rsidP="00B66C07">
      <w:pPr>
        <w:spacing w:after="0" w:line="240" w:lineRule="auto"/>
        <w:ind w:firstLine="720"/>
        <w:jc w:val="both"/>
      </w:pPr>
    </w:p>
    <w:p w:rsidR="00A8274F" w:rsidRDefault="00A8274F" w:rsidP="00B66C07">
      <w:pPr>
        <w:spacing w:after="0" w:line="240" w:lineRule="auto"/>
        <w:ind w:firstLine="720"/>
        <w:jc w:val="both"/>
      </w:pPr>
      <w:r>
        <w:t>Можно с уверенностью сказать, что применение стеклотканевых обоев и малярных стеклохолстов на строящихся и реконструируемых спортивных объектах позволяет не только соблюсти требования пожарного законодательства, но и обеспечить спортсменам и болельщикам высокий уровень пожарной безопасности.</w:t>
      </w:r>
    </w:p>
    <w:p w:rsidR="00B66C07" w:rsidRDefault="00B66C07" w:rsidP="00A8274F">
      <w:pPr>
        <w:jc w:val="both"/>
        <w:rPr>
          <w:b/>
        </w:rPr>
        <w:sectPr w:rsidR="00B66C07" w:rsidSect="00B66C07">
          <w:type w:val="continuous"/>
          <w:pgSz w:w="11906" w:h="16838"/>
          <w:pgMar w:top="755" w:right="678" w:bottom="1119" w:left="756" w:header="708" w:footer="708" w:gutter="0"/>
          <w:cols w:space="410"/>
          <w:docGrid w:linePitch="360"/>
        </w:sectPr>
      </w:pPr>
    </w:p>
    <w:p w:rsidR="00A8274F" w:rsidRPr="006F1DDE" w:rsidRDefault="00B66C07" w:rsidP="00A8274F">
      <w:pPr>
        <w:jc w:val="both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255905</wp:posOffset>
            </wp:positionV>
            <wp:extent cx="3067050" cy="2162175"/>
            <wp:effectExtent l="19050" t="0" r="0" b="0"/>
            <wp:wrapNone/>
            <wp:docPr id="13" name="Рисунок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284480</wp:posOffset>
            </wp:positionV>
            <wp:extent cx="2876550" cy="2162175"/>
            <wp:effectExtent l="19050" t="0" r="0" b="0"/>
            <wp:wrapNone/>
            <wp:docPr id="14" name="Рисунок 1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74F" w:rsidRDefault="00A8274F" w:rsidP="00A8274F">
      <w:pPr>
        <w:sectPr w:rsidR="00A8274F" w:rsidSect="002107CB">
          <w:type w:val="continuous"/>
          <w:pgSz w:w="11906" w:h="16838"/>
          <w:pgMar w:top="755" w:right="678" w:bottom="1119" w:left="756" w:header="708" w:footer="708" w:gutter="0"/>
          <w:cols w:num="2" w:space="708" w:equalWidth="0">
            <w:col w:w="5134" w:space="410"/>
            <w:col w:w="4928"/>
          </w:cols>
          <w:docGrid w:linePitch="360"/>
        </w:sectPr>
      </w:pPr>
    </w:p>
    <w:p w:rsidR="00A8274F" w:rsidRDefault="00A8274F" w:rsidP="00A8274F"/>
    <w:p w:rsidR="00A8274F" w:rsidRPr="004236DD" w:rsidRDefault="00A8274F" w:rsidP="00A8274F"/>
    <w:p w:rsidR="00A8274F" w:rsidRDefault="00A8274F" w:rsidP="00A8274F"/>
    <w:p w:rsidR="00A8274F" w:rsidRDefault="00A8274F" w:rsidP="00A8274F"/>
    <w:p w:rsidR="00A8274F" w:rsidRDefault="00A8274F" w:rsidP="00A8274F"/>
    <w:p w:rsidR="00A8274F" w:rsidRDefault="00A8274F" w:rsidP="00A8274F"/>
    <w:p w:rsidR="00A8274F" w:rsidRDefault="00770042" w:rsidP="00A8274F">
      <w:r>
        <w:rPr>
          <w:noProof/>
        </w:rPr>
        <w:pict>
          <v:shape id="_x0000_s1041" type="#_x0000_t202" style="position:absolute;margin-left:257.6pt;margin-top:20.7pt;width:238.15pt;height:126.6pt;z-index:251675648" fillcolor="silver" stroked="f">
            <v:textbox style="mso-next-textbox:#_x0000_s1041">
              <w:txbxContent>
                <w:p w:rsidR="00A8274F" w:rsidRPr="002F13B3" w:rsidRDefault="00A8274F" w:rsidP="00B66C07">
                  <w:pPr>
                    <w:spacing w:line="240" w:lineRule="auto"/>
                    <w:jc w:val="both"/>
                  </w:pPr>
                  <w:r>
                    <w:t>Раздевалка для юных спортсменов, обшитая деревянными панелями. Воспламеняемость большинства таких панелей, даже обработанных огнезащитным составом, определяется как умеренная (В</w:t>
                  </w:r>
                  <w:proofErr w:type="gramStart"/>
                  <w:r>
                    <w:t>2</w:t>
                  </w:r>
                  <w:proofErr w:type="gramEnd"/>
                  <w:r>
                    <w:t xml:space="preserve">). Но из-за этой химической пропитки, деревянные панели являются </w:t>
                  </w:r>
                  <w:proofErr w:type="spellStart"/>
                  <w:r>
                    <w:t>высокоопасными</w:t>
                  </w:r>
                  <w:proofErr w:type="spellEnd"/>
                  <w:r>
                    <w:t xml:space="preserve"> по токсичности продуктов горения (Т3).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7.7pt;margin-top:20.7pt;width:239.45pt;height:126.6pt;z-index:251674624" fillcolor="silver" stroked="f">
            <v:textbox style="mso-next-textbox:#_x0000_s1040">
              <w:txbxContent>
                <w:p w:rsidR="00A8274F" w:rsidRPr="002F13B3" w:rsidRDefault="00A8274F" w:rsidP="00B66C07">
                  <w:pPr>
                    <w:spacing w:line="240" w:lineRule="auto"/>
                    <w:jc w:val="both"/>
                  </w:pPr>
                  <w:r>
                    <w:t>Этот недавно отремонтированный зал для спортивных занятий крайне опасен для спортсменов. Пластиковые панели на стенах и потолке и линолеум на полу - при возгорании  эти отделочные материалы моментально разлагаются, выделяя опасные соединения хлора.</w:t>
                  </w:r>
                </w:p>
              </w:txbxContent>
            </v:textbox>
          </v:shape>
        </w:pict>
      </w:r>
    </w:p>
    <w:p w:rsidR="00A8274F" w:rsidRDefault="00A8274F" w:rsidP="00A8274F"/>
    <w:p w:rsidR="00A8274F" w:rsidRDefault="00A8274F" w:rsidP="00A8274F"/>
    <w:p w:rsidR="00A8274F" w:rsidRDefault="00A8274F" w:rsidP="00A8274F"/>
    <w:p w:rsidR="00A8274F" w:rsidRPr="002E624D" w:rsidRDefault="00A8274F" w:rsidP="00A8274F"/>
    <w:p w:rsidR="00A8274F" w:rsidRDefault="00A8274F" w:rsidP="00A8274F"/>
    <w:p w:rsidR="00A8274F" w:rsidRDefault="00A8274F" w:rsidP="00A8274F">
      <w:pPr>
        <w:ind w:firstLine="644"/>
        <w:jc w:val="both"/>
        <w:sectPr w:rsidR="00A8274F" w:rsidSect="00D25152">
          <w:type w:val="continuous"/>
          <w:pgSz w:w="11906" w:h="16838"/>
          <w:pgMar w:top="755" w:right="678" w:bottom="1119" w:left="1260" w:header="708" w:footer="708" w:gutter="0"/>
          <w:cols w:space="708"/>
          <w:docGrid w:linePitch="360"/>
        </w:sectPr>
      </w:pPr>
    </w:p>
    <w:p w:rsidR="00B66C07" w:rsidRPr="00B66C07" w:rsidRDefault="00A8274F" w:rsidP="00B66C07">
      <w:pPr>
        <w:spacing w:after="0" w:line="240" w:lineRule="auto"/>
        <w:ind w:left="-567" w:firstLine="709"/>
        <w:jc w:val="both"/>
      </w:pPr>
      <w:r w:rsidRPr="001D7B26">
        <w:lastRenderedPageBreak/>
        <w:t xml:space="preserve">Подводя итог вышесказанному можно с уверенностью сказать, что сегодня стеклотканевые обои </w:t>
      </w:r>
      <w:r>
        <w:t>и малярные стеклохолсты я</w:t>
      </w:r>
      <w:r w:rsidRPr="001D7B26">
        <w:t>вляются единственным</w:t>
      </w:r>
      <w:r>
        <w:t>и</w:t>
      </w:r>
      <w:r w:rsidRPr="001D7B26">
        <w:t xml:space="preserve"> материал</w:t>
      </w:r>
      <w:r>
        <w:t>ами</w:t>
      </w:r>
      <w:r w:rsidRPr="001D7B26">
        <w:t>, позволяющим</w:t>
      </w:r>
      <w:r>
        <w:t>и</w:t>
      </w:r>
      <w:r w:rsidRPr="001D7B26">
        <w:t xml:space="preserve"> в рамках разумных бюджетов решить все задачи по качественной </w:t>
      </w:r>
      <w:r>
        <w:t xml:space="preserve">и безопасной </w:t>
      </w:r>
      <w:r w:rsidRPr="001D7B26">
        <w:t xml:space="preserve">внутренней отделке. Кроме того, за счёт своих уникальных эксплуатационных характеристик, стеклотканевые обои </w:t>
      </w:r>
      <w:r>
        <w:t>и малярные стеклохолсты</w:t>
      </w:r>
      <w:r w:rsidRPr="001D7B26">
        <w:t xml:space="preserve"> экономически выгодны и позволяют ежегодно экономить значительные суммы из средств, выделяемых на косметические ремонты.</w:t>
      </w:r>
    </w:p>
    <w:p w:rsidR="00B66C07" w:rsidRPr="002E624D" w:rsidRDefault="00B66C07" w:rsidP="00B66C07">
      <w:pPr>
        <w:spacing w:after="0" w:line="240" w:lineRule="auto"/>
        <w:ind w:left="-567" w:firstLine="709"/>
        <w:jc w:val="both"/>
      </w:pPr>
    </w:p>
    <w:p w:rsidR="00A8274F" w:rsidRPr="00DF5F10" w:rsidRDefault="00A8274F" w:rsidP="00B66C07">
      <w:pPr>
        <w:spacing w:after="0" w:line="240" w:lineRule="auto"/>
        <w:ind w:left="-567" w:firstLine="709"/>
        <w:jc w:val="right"/>
        <w:rPr>
          <w:b/>
          <w:sz w:val="32"/>
          <w:szCs w:val="32"/>
        </w:rPr>
      </w:pPr>
      <w:r w:rsidRPr="00DF5F10">
        <w:rPr>
          <w:b/>
          <w:sz w:val="32"/>
          <w:szCs w:val="32"/>
        </w:rPr>
        <w:t>Приложения</w:t>
      </w:r>
      <w:r>
        <w:rPr>
          <w:b/>
          <w:sz w:val="32"/>
          <w:szCs w:val="32"/>
        </w:rPr>
        <w:t xml:space="preserve"> и справочные материалы</w:t>
      </w:r>
    </w:p>
    <w:p w:rsidR="0039663A" w:rsidRPr="002E624D" w:rsidRDefault="0039663A" w:rsidP="00B66C07">
      <w:pPr>
        <w:spacing w:after="0" w:line="240" w:lineRule="auto"/>
        <w:jc w:val="center"/>
      </w:pPr>
    </w:p>
    <w:p w:rsidR="0039663A" w:rsidRPr="002E624D" w:rsidRDefault="0039663A" w:rsidP="00B66C07">
      <w:pPr>
        <w:spacing w:after="0" w:line="240" w:lineRule="auto"/>
        <w:jc w:val="center"/>
      </w:pPr>
    </w:p>
    <w:p w:rsidR="00A8274F" w:rsidRPr="00DF5F10" w:rsidRDefault="00A8274F" w:rsidP="00B66C07">
      <w:pPr>
        <w:spacing w:after="0" w:line="240" w:lineRule="auto"/>
        <w:jc w:val="center"/>
      </w:pPr>
      <w:r w:rsidRPr="00DF5F10">
        <w:t xml:space="preserve">Федеральный закон Российской Федерации от 22 июля </w:t>
      </w:r>
      <w:smartTag w:uri="urn:schemas-microsoft-com:office:smarttags" w:element="metricconverter">
        <w:smartTagPr>
          <w:attr w:name="ProductID" w:val="2008 г"/>
        </w:smartTagPr>
        <w:r w:rsidRPr="00DF5F10">
          <w:t>2008 г</w:t>
        </w:r>
      </w:smartTag>
      <w:r w:rsidRPr="00DF5F10">
        <w:t>. N 123-ФЗ "Технический регламент о требованиях пожарной безопасности"</w:t>
      </w:r>
    </w:p>
    <w:p w:rsidR="00A8274F" w:rsidRPr="00DF5F10" w:rsidRDefault="00A8274F" w:rsidP="00B66C07">
      <w:pPr>
        <w:spacing w:after="0" w:line="240" w:lineRule="auto"/>
        <w:jc w:val="center"/>
      </w:pPr>
      <w:proofErr w:type="gramStart"/>
      <w:r w:rsidRPr="00DF5F10">
        <w:t>(извлечения из Статьи 13.</w:t>
      </w:r>
      <w:proofErr w:type="gramEnd"/>
      <w:r w:rsidRPr="00DF5F10">
        <w:t xml:space="preserve"> </w:t>
      </w:r>
      <w:proofErr w:type="gramStart"/>
      <w:r w:rsidRPr="00DF5F10">
        <w:rPr>
          <w:bCs/>
        </w:rPr>
        <w:t>Классификация строительных, текстильных и кожевенных материалов по пожарной опасности).</w:t>
      </w:r>
      <w:proofErr w:type="gramEnd"/>
    </w:p>
    <w:p w:rsidR="0039663A" w:rsidRPr="002E624D" w:rsidRDefault="0039663A" w:rsidP="00B66C07">
      <w:pPr>
        <w:spacing w:after="0" w:line="240" w:lineRule="auto"/>
      </w:pPr>
    </w:p>
    <w:p w:rsidR="00A8274F" w:rsidRPr="00DF5F10" w:rsidRDefault="00A8274F" w:rsidP="00B66C07">
      <w:pPr>
        <w:spacing w:after="0" w:line="240" w:lineRule="auto"/>
      </w:pPr>
      <w:r w:rsidRPr="00DF5F10">
        <w:t>Горючие строительные материалы подразделяются на следующие группы:</w:t>
      </w:r>
    </w:p>
    <w:p w:rsidR="00A8274F" w:rsidRPr="00DF5F10" w:rsidRDefault="00A8274F" w:rsidP="00B66C07">
      <w:pPr>
        <w:spacing w:after="0" w:line="240" w:lineRule="auto"/>
      </w:pPr>
      <w:r w:rsidRPr="00DF5F10">
        <w:t xml:space="preserve">1) </w:t>
      </w:r>
      <w:proofErr w:type="spellStart"/>
      <w:r w:rsidRPr="00DF5F10">
        <w:t>слабогорючие</w:t>
      </w:r>
      <w:proofErr w:type="spellEnd"/>
      <w:r w:rsidRPr="00DF5F10">
        <w:t xml:space="preserve"> (Г</w:t>
      </w:r>
      <w:proofErr w:type="gramStart"/>
      <w:r w:rsidRPr="00DF5F10">
        <w:t>1</w:t>
      </w:r>
      <w:proofErr w:type="gramEnd"/>
      <w:r w:rsidRPr="00DF5F10">
        <w:t>);</w:t>
      </w:r>
    </w:p>
    <w:p w:rsidR="00A8274F" w:rsidRPr="00DF5F10" w:rsidRDefault="00A8274F" w:rsidP="00B66C07">
      <w:pPr>
        <w:spacing w:after="0" w:line="240" w:lineRule="auto"/>
      </w:pPr>
      <w:r w:rsidRPr="00DF5F10">
        <w:t xml:space="preserve">2) </w:t>
      </w:r>
      <w:proofErr w:type="spellStart"/>
      <w:r w:rsidRPr="00DF5F10">
        <w:t>умеренногорючие</w:t>
      </w:r>
      <w:proofErr w:type="spellEnd"/>
      <w:r w:rsidRPr="00DF5F10">
        <w:t xml:space="preserve"> (Г</w:t>
      </w:r>
      <w:proofErr w:type="gramStart"/>
      <w:r w:rsidRPr="00DF5F10">
        <w:t>2</w:t>
      </w:r>
      <w:proofErr w:type="gramEnd"/>
      <w:r w:rsidRPr="00DF5F10">
        <w:t>);</w:t>
      </w:r>
    </w:p>
    <w:p w:rsidR="00A8274F" w:rsidRPr="00DF5F10" w:rsidRDefault="00A8274F" w:rsidP="00B66C07">
      <w:pPr>
        <w:spacing w:after="0" w:line="240" w:lineRule="auto"/>
      </w:pPr>
      <w:r w:rsidRPr="00DF5F10">
        <w:t xml:space="preserve">3) </w:t>
      </w:r>
      <w:proofErr w:type="spellStart"/>
      <w:r w:rsidRPr="00DF5F10">
        <w:t>нормальногорючие</w:t>
      </w:r>
      <w:proofErr w:type="spellEnd"/>
      <w:r w:rsidRPr="00DF5F10">
        <w:t xml:space="preserve"> (ГЗ);</w:t>
      </w:r>
    </w:p>
    <w:p w:rsidR="00A8274F" w:rsidRPr="00DF5F10" w:rsidRDefault="00A8274F" w:rsidP="00B66C07">
      <w:pPr>
        <w:spacing w:after="0" w:line="240" w:lineRule="auto"/>
      </w:pPr>
      <w:r w:rsidRPr="00DF5F10">
        <w:t xml:space="preserve">4) </w:t>
      </w:r>
      <w:proofErr w:type="spellStart"/>
      <w:r w:rsidRPr="00DF5F10">
        <w:t>сильногорючие</w:t>
      </w:r>
      <w:proofErr w:type="spellEnd"/>
      <w:r w:rsidRPr="00DF5F10">
        <w:t xml:space="preserve"> (Г</w:t>
      </w:r>
      <w:proofErr w:type="gramStart"/>
      <w:r w:rsidRPr="00DF5F10">
        <w:t>4</w:t>
      </w:r>
      <w:proofErr w:type="gramEnd"/>
      <w:r w:rsidRPr="00DF5F10">
        <w:t>).</w:t>
      </w:r>
    </w:p>
    <w:p w:rsidR="0039663A" w:rsidRPr="002E624D" w:rsidRDefault="0039663A" w:rsidP="00B66C07">
      <w:pPr>
        <w:spacing w:after="0" w:line="240" w:lineRule="auto"/>
      </w:pPr>
    </w:p>
    <w:p w:rsidR="00A8274F" w:rsidRPr="00DF5F10" w:rsidRDefault="00A8274F" w:rsidP="00B66C07">
      <w:pPr>
        <w:spacing w:after="0" w:line="240" w:lineRule="auto"/>
      </w:pPr>
      <w:r w:rsidRPr="00DF5F10">
        <w:t>По воспламеняемости горючие строительные материалы (в том числе напольные ковровые покрытия) в зависимости от величины критической поверхностной плотности теплового потока подразделяются на следующие группы:</w:t>
      </w:r>
    </w:p>
    <w:p w:rsidR="00A8274F" w:rsidRPr="00DF5F10" w:rsidRDefault="00A8274F" w:rsidP="00B66C07">
      <w:pPr>
        <w:spacing w:after="0" w:line="240" w:lineRule="auto"/>
      </w:pPr>
      <w:r w:rsidRPr="00DF5F10">
        <w:t>1) трудновоспламеняемые (В</w:t>
      </w:r>
      <w:proofErr w:type="gramStart"/>
      <w:r w:rsidRPr="00DF5F10">
        <w:t>1</w:t>
      </w:r>
      <w:proofErr w:type="gramEnd"/>
      <w:r w:rsidRPr="00DF5F10">
        <w:t>);</w:t>
      </w:r>
    </w:p>
    <w:p w:rsidR="00A8274F" w:rsidRPr="00DF5F10" w:rsidRDefault="00A8274F" w:rsidP="00B66C07">
      <w:pPr>
        <w:spacing w:after="0" w:line="240" w:lineRule="auto"/>
      </w:pPr>
      <w:r w:rsidRPr="00DF5F10">
        <w:t xml:space="preserve">2) </w:t>
      </w:r>
      <w:proofErr w:type="spellStart"/>
      <w:r w:rsidRPr="00DF5F10">
        <w:t>умеренновоспламеняемые</w:t>
      </w:r>
      <w:proofErr w:type="spellEnd"/>
      <w:r w:rsidRPr="00DF5F10">
        <w:t xml:space="preserve"> (В</w:t>
      </w:r>
      <w:proofErr w:type="gramStart"/>
      <w:r w:rsidRPr="00DF5F10">
        <w:t>2</w:t>
      </w:r>
      <w:proofErr w:type="gramEnd"/>
      <w:r w:rsidRPr="00DF5F10">
        <w:t>);</w:t>
      </w:r>
    </w:p>
    <w:p w:rsidR="00A8274F" w:rsidRPr="00DF5F10" w:rsidRDefault="00A8274F" w:rsidP="00B66C07">
      <w:pPr>
        <w:spacing w:after="0" w:line="240" w:lineRule="auto"/>
      </w:pPr>
      <w:r w:rsidRPr="00DF5F10">
        <w:t xml:space="preserve">3) </w:t>
      </w:r>
      <w:proofErr w:type="spellStart"/>
      <w:r w:rsidRPr="00DF5F10">
        <w:t>легковоспламеняемые</w:t>
      </w:r>
      <w:proofErr w:type="spellEnd"/>
      <w:r w:rsidRPr="00DF5F10">
        <w:t xml:space="preserve"> (В3).</w:t>
      </w:r>
    </w:p>
    <w:p w:rsidR="0039663A" w:rsidRPr="002E624D" w:rsidRDefault="0039663A" w:rsidP="00B66C07">
      <w:pPr>
        <w:spacing w:after="0" w:line="240" w:lineRule="auto"/>
      </w:pPr>
    </w:p>
    <w:p w:rsidR="00A8274F" w:rsidRPr="00DF5F10" w:rsidRDefault="00A8274F" w:rsidP="00B66C07">
      <w:pPr>
        <w:spacing w:after="0" w:line="240" w:lineRule="auto"/>
      </w:pPr>
      <w:r w:rsidRPr="00DF5F10">
        <w:t>По скорости распространения пламени по поверхности горючие строительные материалы (в том числе напольные ковровые покрытия) в зависимости от величины критической поверхностной плотности теплового потока подразделяются на следующие группы:</w:t>
      </w:r>
    </w:p>
    <w:p w:rsidR="00A8274F" w:rsidRPr="00DF5F10" w:rsidRDefault="00A8274F" w:rsidP="00B66C07">
      <w:pPr>
        <w:spacing w:after="0" w:line="240" w:lineRule="auto"/>
      </w:pPr>
      <w:r w:rsidRPr="00DF5F10">
        <w:t xml:space="preserve">1) </w:t>
      </w:r>
      <w:proofErr w:type="spellStart"/>
      <w:r w:rsidRPr="00DF5F10">
        <w:t>нераспространяющие</w:t>
      </w:r>
      <w:proofErr w:type="spellEnd"/>
      <w:r w:rsidRPr="00DF5F10">
        <w:t xml:space="preserve"> (РП</w:t>
      </w:r>
      <w:proofErr w:type="gramStart"/>
      <w:r w:rsidRPr="00DF5F10">
        <w:t>1</w:t>
      </w:r>
      <w:proofErr w:type="gramEnd"/>
      <w:r w:rsidRPr="00DF5F10">
        <w:t>);</w:t>
      </w:r>
    </w:p>
    <w:p w:rsidR="00A8274F" w:rsidRPr="00DF5F10" w:rsidRDefault="00A8274F" w:rsidP="00B66C07">
      <w:pPr>
        <w:spacing w:after="0" w:line="240" w:lineRule="auto"/>
      </w:pPr>
      <w:r w:rsidRPr="00DF5F10">
        <w:t xml:space="preserve">2) </w:t>
      </w:r>
      <w:proofErr w:type="spellStart"/>
      <w:r w:rsidRPr="00DF5F10">
        <w:t>слабораспространяющие</w:t>
      </w:r>
      <w:proofErr w:type="spellEnd"/>
      <w:r w:rsidRPr="00DF5F10">
        <w:t xml:space="preserve"> (РП</w:t>
      </w:r>
      <w:proofErr w:type="gramStart"/>
      <w:r w:rsidRPr="00DF5F10">
        <w:t>2</w:t>
      </w:r>
      <w:proofErr w:type="gramEnd"/>
      <w:r w:rsidRPr="00DF5F10">
        <w:t>);</w:t>
      </w:r>
    </w:p>
    <w:p w:rsidR="00A8274F" w:rsidRPr="00DF5F10" w:rsidRDefault="00A8274F" w:rsidP="00B66C07">
      <w:pPr>
        <w:spacing w:after="0" w:line="240" w:lineRule="auto"/>
      </w:pPr>
      <w:r w:rsidRPr="00DF5F10">
        <w:t xml:space="preserve">3) </w:t>
      </w:r>
      <w:proofErr w:type="spellStart"/>
      <w:r w:rsidRPr="00DF5F10">
        <w:t>умереннораспространяющие</w:t>
      </w:r>
      <w:proofErr w:type="spellEnd"/>
      <w:r w:rsidRPr="00DF5F10">
        <w:t xml:space="preserve"> (РПЗ);</w:t>
      </w:r>
    </w:p>
    <w:p w:rsidR="00A8274F" w:rsidRPr="00DF5F10" w:rsidRDefault="00A8274F" w:rsidP="00B66C07">
      <w:pPr>
        <w:spacing w:after="0" w:line="240" w:lineRule="auto"/>
      </w:pPr>
      <w:r w:rsidRPr="00DF5F10">
        <w:t xml:space="preserve">4) </w:t>
      </w:r>
      <w:proofErr w:type="spellStart"/>
      <w:r w:rsidRPr="00DF5F10">
        <w:t>сильнораспространяющие</w:t>
      </w:r>
      <w:proofErr w:type="spellEnd"/>
      <w:r w:rsidRPr="00DF5F10">
        <w:t xml:space="preserve"> (РП</w:t>
      </w:r>
      <w:proofErr w:type="gramStart"/>
      <w:r w:rsidRPr="00DF5F10">
        <w:t>4</w:t>
      </w:r>
      <w:proofErr w:type="gramEnd"/>
      <w:r w:rsidRPr="00DF5F10">
        <w:t>).</w:t>
      </w:r>
    </w:p>
    <w:p w:rsidR="0039663A" w:rsidRPr="002E624D" w:rsidRDefault="0039663A" w:rsidP="00B66C07">
      <w:pPr>
        <w:spacing w:after="0" w:line="240" w:lineRule="auto"/>
      </w:pPr>
    </w:p>
    <w:p w:rsidR="00A8274F" w:rsidRPr="00DF5F10" w:rsidRDefault="00A8274F" w:rsidP="00B66C07">
      <w:pPr>
        <w:spacing w:after="0" w:line="240" w:lineRule="auto"/>
      </w:pPr>
      <w:r w:rsidRPr="00DF5F10">
        <w:t xml:space="preserve">По дымообразующей способности горючие строительные материалы в зависимости от значения коэффициента </w:t>
      </w:r>
      <w:proofErr w:type="spellStart"/>
      <w:r w:rsidRPr="00DF5F10">
        <w:t>дымообразования</w:t>
      </w:r>
      <w:proofErr w:type="spellEnd"/>
      <w:r w:rsidRPr="00DF5F10">
        <w:t xml:space="preserve"> подразделяются на следующие группы:</w:t>
      </w:r>
    </w:p>
    <w:p w:rsidR="00A8274F" w:rsidRPr="00DF5F10" w:rsidRDefault="00A8274F" w:rsidP="00B66C07">
      <w:pPr>
        <w:spacing w:after="0" w:line="240" w:lineRule="auto"/>
      </w:pPr>
      <w:r w:rsidRPr="00DF5F10">
        <w:t>1) с малой дымообразующей способностью (Д</w:t>
      </w:r>
      <w:proofErr w:type="gramStart"/>
      <w:r w:rsidRPr="00DF5F10">
        <w:t>1</w:t>
      </w:r>
      <w:proofErr w:type="gramEnd"/>
      <w:r w:rsidRPr="00DF5F10">
        <w:t>);</w:t>
      </w:r>
    </w:p>
    <w:p w:rsidR="00A8274F" w:rsidRPr="00DF5F10" w:rsidRDefault="00A8274F" w:rsidP="00B66C07">
      <w:pPr>
        <w:spacing w:after="0" w:line="240" w:lineRule="auto"/>
      </w:pPr>
      <w:r w:rsidRPr="00DF5F10">
        <w:t>2) с умеренной дымообразующей способностью (Д</w:t>
      </w:r>
      <w:proofErr w:type="gramStart"/>
      <w:r w:rsidRPr="00DF5F10">
        <w:t>2</w:t>
      </w:r>
      <w:proofErr w:type="gramEnd"/>
      <w:r w:rsidRPr="00DF5F10">
        <w:t>);</w:t>
      </w:r>
    </w:p>
    <w:p w:rsidR="00A8274F" w:rsidRPr="00DF5F10" w:rsidRDefault="00A8274F" w:rsidP="00B66C07">
      <w:pPr>
        <w:spacing w:after="0" w:line="240" w:lineRule="auto"/>
      </w:pPr>
      <w:r w:rsidRPr="00DF5F10">
        <w:t>3) с высокой дымообразующей способностью (Д3);</w:t>
      </w:r>
    </w:p>
    <w:p w:rsidR="0039663A" w:rsidRPr="002E624D" w:rsidRDefault="0039663A" w:rsidP="00B66C07">
      <w:pPr>
        <w:spacing w:after="0" w:line="240" w:lineRule="auto"/>
      </w:pPr>
    </w:p>
    <w:p w:rsidR="00A8274F" w:rsidRPr="00DF5F10" w:rsidRDefault="00A8274F" w:rsidP="00B66C07">
      <w:pPr>
        <w:spacing w:after="0" w:line="240" w:lineRule="auto"/>
      </w:pPr>
      <w:r w:rsidRPr="00DF5F10">
        <w:t>По токсичности продуктов горения горючие строительные материалы подразделяются на следующие группы:</w:t>
      </w:r>
    </w:p>
    <w:p w:rsidR="00A8274F" w:rsidRPr="00DF5F10" w:rsidRDefault="00A8274F" w:rsidP="00B66C07">
      <w:pPr>
        <w:spacing w:after="0" w:line="240" w:lineRule="auto"/>
      </w:pPr>
      <w:r w:rsidRPr="00DF5F10">
        <w:t>1) малоопасные (Т</w:t>
      </w:r>
      <w:proofErr w:type="gramStart"/>
      <w:r w:rsidRPr="00DF5F10">
        <w:t>1</w:t>
      </w:r>
      <w:proofErr w:type="gramEnd"/>
      <w:r w:rsidRPr="00DF5F10">
        <w:t>);</w:t>
      </w:r>
    </w:p>
    <w:p w:rsidR="00A8274F" w:rsidRPr="00DF5F10" w:rsidRDefault="00A8274F" w:rsidP="00B66C07">
      <w:pPr>
        <w:spacing w:after="0" w:line="240" w:lineRule="auto"/>
      </w:pPr>
      <w:r w:rsidRPr="00DF5F10">
        <w:t xml:space="preserve">2) </w:t>
      </w:r>
      <w:proofErr w:type="spellStart"/>
      <w:r w:rsidRPr="00DF5F10">
        <w:t>умеренноопасные</w:t>
      </w:r>
      <w:proofErr w:type="spellEnd"/>
      <w:r w:rsidRPr="00DF5F10">
        <w:t xml:space="preserve"> (Т</w:t>
      </w:r>
      <w:proofErr w:type="gramStart"/>
      <w:r w:rsidRPr="00DF5F10">
        <w:t>2</w:t>
      </w:r>
      <w:proofErr w:type="gramEnd"/>
      <w:r w:rsidRPr="00DF5F10">
        <w:t>);</w:t>
      </w:r>
    </w:p>
    <w:p w:rsidR="00A8274F" w:rsidRPr="00DF5F10" w:rsidRDefault="00A8274F" w:rsidP="00B66C07">
      <w:pPr>
        <w:spacing w:after="0" w:line="240" w:lineRule="auto"/>
      </w:pPr>
      <w:r w:rsidRPr="00DF5F10">
        <w:t xml:space="preserve">3) </w:t>
      </w:r>
      <w:proofErr w:type="spellStart"/>
      <w:r w:rsidRPr="00DF5F10">
        <w:t>высокоопасные</w:t>
      </w:r>
      <w:proofErr w:type="spellEnd"/>
      <w:r w:rsidRPr="00DF5F10">
        <w:t xml:space="preserve"> (Т3);</w:t>
      </w:r>
    </w:p>
    <w:p w:rsidR="00A8274F" w:rsidRPr="00DF5F10" w:rsidRDefault="00A8274F" w:rsidP="00B66C07">
      <w:pPr>
        <w:spacing w:after="0" w:line="240" w:lineRule="auto"/>
      </w:pPr>
      <w:r w:rsidRPr="00DF5F10">
        <w:t>4) чрезвычайно опасные (Т</w:t>
      </w:r>
      <w:proofErr w:type="gramStart"/>
      <w:r w:rsidRPr="00DF5F10">
        <w:t>4</w:t>
      </w:r>
      <w:proofErr w:type="gramEnd"/>
      <w:r w:rsidRPr="00DF5F10">
        <w:t>).</w:t>
      </w:r>
    </w:p>
    <w:p w:rsidR="00A8274F" w:rsidRPr="002E624D" w:rsidRDefault="00A8274F" w:rsidP="00A8274F"/>
    <w:p w:rsidR="0039663A" w:rsidRPr="002E624D" w:rsidRDefault="0039663A" w:rsidP="00A8274F"/>
    <w:p w:rsidR="0039663A" w:rsidRPr="002E624D" w:rsidRDefault="0039663A" w:rsidP="00A8274F"/>
    <w:p w:rsidR="00A8274F" w:rsidRDefault="00A8274F" w:rsidP="00A8274F">
      <w:pPr>
        <w:jc w:val="center"/>
      </w:pPr>
      <w:r w:rsidRPr="00DF5F10">
        <w:lastRenderedPageBreak/>
        <w:t>Таблица 3 Классы пожарной опасности строительных материалов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078"/>
        <w:gridCol w:w="1078"/>
        <w:gridCol w:w="1078"/>
        <w:gridCol w:w="1078"/>
        <w:gridCol w:w="1078"/>
        <w:gridCol w:w="1078"/>
      </w:tblGrid>
      <w:tr w:rsidR="00A8274F" w:rsidRPr="004D72DC" w:rsidTr="0039663A">
        <w:tc>
          <w:tcPr>
            <w:tcW w:w="3227" w:type="dxa"/>
            <w:vMerge w:val="restart"/>
          </w:tcPr>
          <w:p w:rsidR="00A8274F" w:rsidRPr="004D72DC" w:rsidRDefault="00A8274F" w:rsidP="002A7373">
            <w:pPr>
              <w:jc w:val="center"/>
              <w:rPr>
                <w:b/>
              </w:rPr>
            </w:pPr>
            <w:r w:rsidRPr="004D72DC">
              <w:rPr>
                <w:b/>
              </w:rPr>
              <w:t>Свойства пожарной опасности строительных материалов</w:t>
            </w:r>
          </w:p>
        </w:tc>
        <w:tc>
          <w:tcPr>
            <w:tcW w:w="6468" w:type="dxa"/>
            <w:gridSpan w:val="6"/>
          </w:tcPr>
          <w:p w:rsidR="00A8274F" w:rsidRPr="004D72DC" w:rsidRDefault="00A8274F" w:rsidP="002A7373">
            <w:pPr>
              <w:jc w:val="center"/>
              <w:rPr>
                <w:b/>
              </w:rPr>
            </w:pPr>
            <w:r w:rsidRPr="004D72DC">
              <w:rPr>
                <w:b/>
              </w:rPr>
              <w:t>Класс пожарной опасности строительных материалов в зависимости от групп</w:t>
            </w:r>
          </w:p>
        </w:tc>
      </w:tr>
      <w:tr w:rsidR="00A8274F" w:rsidRPr="004D72DC" w:rsidTr="0039663A">
        <w:tc>
          <w:tcPr>
            <w:tcW w:w="3227" w:type="dxa"/>
            <w:vMerge/>
          </w:tcPr>
          <w:p w:rsidR="00A8274F" w:rsidRPr="004D72DC" w:rsidRDefault="00A8274F" w:rsidP="002A7373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  <w:rPr>
                <w:b/>
              </w:rPr>
            </w:pPr>
            <w:r w:rsidRPr="004D72DC">
              <w:rPr>
                <w:b/>
              </w:rPr>
              <w:t>КМ</w:t>
            </w:r>
            <w:proofErr w:type="gramStart"/>
            <w:r w:rsidRPr="004D72DC">
              <w:rPr>
                <w:b/>
              </w:rPr>
              <w:t>0</w:t>
            </w:r>
            <w:proofErr w:type="gramEnd"/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  <w:rPr>
                <w:b/>
              </w:rPr>
            </w:pPr>
            <w:r w:rsidRPr="004D72DC">
              <w:rPr>
                <w:b/>
              </w:rPr>
              <w:t>КМ</w:t>
            </w:r>
            <w:proofErr w:type="gramStart"/>
            <w:r w:rsidRPr="004D72DC">
              <w:rPr>
                <w:b/>
              </w:rPr>
              <w:t>1</w:t>
            </w:r>
            <w:proofErr w:type="gramEnd"/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  <w:rPr>
                <w:b/>
              </w:rPr>
            </w:pPr>
            <w:r w:rsidRPr="004D72DC">
              <w:rPr>
                <w:b/>
              </w:rPr>
              <w:t>КМ</w:t>
            </w:r>
            <w:proofErr w:type="gramStart"/>
            <w:r w:rsidRPr="004D72DC">
              <w:rPr>
                <w:b/>
              </w:rPr>
              <w:t>2</w:t>
            </w:r>
            <w:proofErr w:type="gramEnd"/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  <w:rPr>
                <w:b/>
              </w:rPr>
            </w:pPr>
            <w:r w:rsidRPr="004D72DC">
              <w:rPr>
                <w:b/>
              </w:rPr>
              <w:t>КМ3</w:t>
            </w:r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  <w:rPr>
                <w:b/>
              </w:rPr>
            </w:pPr>
            <w:r w:rsidRPr="004D72DC">
              <w:rPr>
                <w:b/>
              </w:rPr>
              <w:t>КМ</w:t>
            </w:r>
            <w:proofErr w:type="gramStart"/>
            <w:r w:rsidRPr="004D72DC">
              <w:rPr>
                <w:b/>
              </w:rPr>
              <w:t>4</w:t>
            </w:r>
            <w:proofErr w:type="gramEnd"/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  <w:rPr>
                <w:b/>
              </w:rPr>
            </w:pPr>
            <w:r w:rsidRPr="004D72DC">
              <w:rPr>
                <w:b/>
              </w:rPr>
              <w:t>КМ5</w:t>
            </w:r>
          </w:p>
        </w:tc>
      </w:tr>
      <w:tr w:rsidR="00A8274F" w:rsidRPr="004D72DC" w:rsidTr="0039663A">
        <w:tc>
          <w:tcPr>
            <w:tcW w:w="3227" w:type="dxa"/>
          </w:tcPr>
          <w:p w:rsidR="00A8274F" w:rsidRPr="004D72DC" w:rsidRDefault="00A8274F" w:rsidP="002A7373">
            <w:r w:rsidRPr="004D72DC">
              <w:t>Горючесть</w:t>
            </w:r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НГ</w:t>
            </w:r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Г</w:t>
            </w:r>
            <w:proofErr w:type="gramStart"/>
            <w:r w:rsidRPr="004D72DC">
              <w:t>1</w:t>
            </w:r>
            <w:proofErr w:type="gramEnd"/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Г</w:t>
            </w:r>
            <w:proofErr w:type="gramStart"/>
            <w:r w:rsidRPr="004D72DC">
              <w:t>1</w:t>
            </w:r>
            <w:proofErr w:type="gramEnd"/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Г</w:t>
            </w:r>
            <w:proofErr w:type="gramStart"/>
            <w:r w:rsidRPr="004D72DC">
              <w:t>2</w:t>
            </w:r>
            <w:proofErr w:type="gramEnd"/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Г3</w:t>
            </w:r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Г</w:t>
            </w:r>
            <w:proofErr w:type="gramStart"/>
            <w:r w:rsidRPr="004D72DC">
              <w:t>4</w:t>
            </w:r>
            <w:proofErr w:type="gramEnd"/>
          </w:p>
        </w:tc>
      </w:tr>
      <w:tr w:rsidR="00A8274F" w:rsidRPr="004D72DC" w:rsidTr="0039663A">
        <w:tc>
          <w:tcPr>
            <w:tcW w:w="3227" w:type="dxa"/>
          </w:tcPr>
          <w:p w:rsidR="00A8274F" w:rsidRPr="004D72DC" w:rsidRDefault="00A8274F" w:rsidP="002A7373">
            <w:r w:rsidRPr="004D72DC">
              <w:t>Воспламеняемость</w:t>
            </w:r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-</w:t>
            </w:r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В</w:t>
            </w:r>
            <w:proofErr w:type="gramStart"/>
            <w:r w:rsidRPr="004D72DC">
              <w:t>1</w:t>
            </w:r>
            <w:proofErr w:type="gramEnd"/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В</w:t>
            </w:r>
            <w:proofErr w:type="gramStart"/>
            <w:r w:rsidRPr="004D72DC">
              <w:t>2</w:t>
            </w:r>
            <w:proofErr w:type="gramEnd"/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В</w:t>
            </w:r>
            <w:proofErr w:type="gramStart"/>
            <w:r w:rsidRPr="004D72DC">
              <w:t>2</w:t>
            </w:r>
            <w:proofErr w:type="gramEnd"/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В</w:t>
            </w:r>
            <w:proofErr w:type="gramStart"/>
            <w:r w:rsidRPr="004D72DC">
              <w:t>2</w:t>
            </w:r>
            <w:proofErr w:type="gramEnd"/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В3</w:t>
            </w:r>
          </w:p>
        </w:tc>
      </w:tr>
      <w:tr w:rsidR="00A8274F" w:rsidRPr="004D72DC" w:rsidTr="0039663A">
        <w:tc>
          <w:tcPr>
            <w:tcW w:w="3227" w:type="dxa"/>
          </w:tcPr>
          <w:p w:rsidR="00A8274F" w:rsidRPr="004D72DC" w:rsidRDefault="00A8274F" w:rsidP="002A7373">
            <w:proofErr w:type="spellStart"/>
            <w:r w:rsidRPr="004D72DC">
              <w:t>Димообразующая</w:t>
            </w:r>
            <w:proofErr w:type="spellEnd"/>
            <w:r w:rsidRPr="004D72DC">
              <w:t xml:space="preserve"> способность</w:t>
            </w:r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-</w:t>
            </w:r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Д</w:t>
            </w:r>
            <w:proofErr w:type="gramStart"/>
            <w:r w:rsidRPr="004D72DC">
              <w:t>2</w:t>
            </w:r>
            <w:proofErr w:type="gramEnd"/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Д</w:t>
            </w:r>
            <w:proofErr w:type="gramStart"/>
            <w:r w:rsidRPr="004D72DC">
              <w:t>2</w:t>
            </w:r>
            <w:proofErr w:type="gramEnd"/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Д3</w:t>
            </w:r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Д3</w:t>
            </w:r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Д3</w:t>
            </w:r>
          </w:p>
        </w:tc>
      </w:tr>
      <w:tr w:rsidR="00A8274F" w:rsidRPr="004D72DC" w:rsidTr="0039663A">
        <w:tc>
          <w:tcPr>
            <w:tcW w:w="3227" w:type="dxa"/>
          </w:tcPr>
          <w:p w:rsidR="00A8274F" w:rsidRPr="004D72DC" w:rsidRDefault="00A8274F" w:rsidP="002A7373">
            <w:r>
              <w:t>Токсичность</w:t>
            </w:r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-</w:t>
            </w:r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Т</w:t>
            </w:r>
            <w:proofErr w:type="gramStart"/>
            <w:r w:rsidRPr="004D72DC">
              <w:t>2</w:t>
            </w:r>
            <w:proofErr w:type="gramEnd"/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Т</w:t>
            </w:r>
            <w:proofErr w:type="gramStart"/>
            <w:r w:rsidRPr="004D72DC">
              <w:t>2</w:t>
            </w:r>
            <w:proofErr w:type="gramEnd"/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Т</w:t>
            </w:r>
            <w:proofErr w:type="gramStart"/>
            <w:r w:rsidRPr="004D72DC">
              <w:t>2</w:t>
            </w:r>
            <w:proofErr w:type="gramEnd"/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Т3</w:t>
            </w:r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Т</w:t>
            </w:r>
            <w:proofErr w:type="gramStart"/>
            <w:r w:rsidRPr="004D72DC">
              <w:t>4</w:t>
            </w:r>
            <w:proofErr w:type="gramEnd"/>
          </w:p>
        </w:tc>
      </w:tr>
      <w:tr w:rsidR="00A8274F" w:rsidRPr="004D72DC" w:rsidTr="0039663A">
        <w:tc>
          <w:tcPr>
            <w:tcW w:w="3227" w:type="dxa"/>
          </w:tcPr>
          <w:p w:rsidR="00A8274F" w:rsidRPr="004D72DC" w:rsidRDefault="00A8274F" w:rsidP="002A7373">
            <w:r w:rsidRPr="004D72DC">
              <w:t xml:space="preserve">Распространение пламени </w:t>
            </w:r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-</w:t>
            </w:r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РП</w:t>
            </w:r>
            <w:proofErr w:type="gramStart"/>
            <w:r w:rsidRPr="004D72DC">
              <w:t>1</w:t>
            </w:r>
            <w:proofErr w:type="gramEnd"/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РП</w:t>
            </w:r>
            <w:proofErr w:type="gramStart"/>
            <w:r w:rsidRPr="004D72DC">
              <w:t>1</w:t>
            </w:r>
            <w:proofErr w:type="gramEnd"/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РП</w:t>
            </w:r>
            <w:proofErr w:type="gramStart"/>
            <w:r w:rsidRPr="004D72DC">
              <w:t>2</w:t>
            </w:r>
            <w:proofErr w:type="gramEnd"/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РП</w:t>
            </w:r>
            <w:proofErr w:type="gramStart"/>
            <w:r w:rsidRPr="004D72DC">
              <w:t>2</w:t>
            </w:r>
            <w:proofErr w:type="gramEnd"/>
          </w:p>
        </w:tc>
        <w:tc>
          <w:tcPr>
            <w:tcW w:w="1078" w:type="dxa"/>
          </w:tcPr>
          <w:p w:rsidR="00A8274F" w:rsidRPr="004D72DC" w:rsidRDefault="00A8274F" w:rsidP="002A7373">
            <w:pPr>
              <w:jc w:val="center"/>
            </w:pPr>
            <w:r w:rsidRPr="004D72DC">
              <w:t>РП</w:t>
            </w:r>
            <w:proofErr w:type="gramStart"/>
            <w:r w:rsidRPr="004D72DC">
              <w:t>4</w:t>
            </w:r>
            <w:proofErr w:type="gramEnd"/>
          </w:p>
        </w:tc>
      </w:tr>
    </w:tbl>
    <w:p w:rsidR="00A8274F" w:rsidRPr="009E6740" w:rsidRDefault="00770042" w:rsidP="00A8274F">
      <w:pPr>
        <w:jc w:val="center"/>
      </w:pPr>
      <w:r w:rsidRPr="00770042">
        <w:rPr>
          <w:noProof/>
          <w:sz w:val="20"/>
          <w:szCs w:val="20"/>
        </w:rPr>
        <w:pict>
          <v:shape id="_x0000_s1064" type="#_x0000_t202" style="position:absolute;left:0;text-align:left;margin-left:-7pt;margin-top:10.95pt;width:486.8pt;height:150.3pt;z-index:251699200;mso-position-horizontal-relative:text;mso-position-vertical-relative:text" fillcolor="silver" stroked="f">
            <v:textbox style="mso-next-textbox:#_x0000_s1064">
              <w:txbxContent>
                <w:p w:rsidR="00A8274F" w:rsidRPr="00FA48AC" w:rsidRDefault="00A8274F" w:rsidP="00A8274F">
                  <w:pPr>
                    <w:jc w:val="both"/>
                    <w:rPr>
                      <w:sz w:val="32"/>
                      <w:szCs w:val="32"/>
                    </w:rPr>
                  </w:pPr>
                  <w:r w:rsidRPr="00FA48AC">
                    <w:rPr>
                      <w:sz w:val="32"/>
                      <w:szCs w:val="32"/>
                    </w:rPr>
                    <w:t>Согласно сертификату соответствия Техническому регламенту о требованиях пожарной безопасности, приложению и протоколам испытаний к нему, стеклотканевым обоям и малярным стеклохолстам присвоены лучшие показатели в группа</w:t>
                  </w:r>
                  <w:r>
                    <w:rPr>
                      <w:sz w:val="32"/>
                      <w:szCs w:val="32"/>
                    </w:rPr>
                    <w:t>х:</w:t>
                  </w:r>
                  <w:r w:rsidRPr="00FA48AC">
                    <w:rPr>
                      <w:sz w:val="32"/>
                      <w:szCs w:val="32"/>
                    </w:rPr>
                    <w:t xml:space="preserve"> Г</w:t>
                  </w:r>
                  <w:proofErr w:type="gramStart"/>
                  <w:r w:rsidRPr="00FA48AC">
                    <w:rPr>
                      <w:sz w:val="32"/>
                      <w:szCs w:val="32"/>
                    </w:rPr>
                    <w:t>1</w:t>
                  </w:r>
                  <w:proofErr w:type="gramEnd"/>
                  <w:r w:rsidRPr="00FA48AC">
                    <w:rPr>
                      <w:sz w:val="32"/>
                      <w:szCs w:val="32"/>
                    </w:rPr>
                    <w:t>, В1, Т1, Д1</w:t>
                  </w:r>
                  <w:r>
                    <w:rPr>
                      <w:sz w:val="32"/>
                      <w:szCs w:val="32"/>
                    </w:rPr>
                    <w:t xml:space="preserve"> и РП1</w:t>
                  </w:r>
                  <w:r w:rsidRPr="00FA48AC">
                    <w:rPr>
                      <w:sz w:val="32"/>
                      <w:szCs w:val="32"/>
                    </w:rPr>
                    <w:t>.</w:t>
                  </w:r>
                </w:p>
                <w:p w:rsidR="00A8274F" w:rsidRPr="00FA48AC" w:rsidRDefault="00A8274F" w:rsidP="00A8274F">
                  <w:pPr>
                    <w:jc w:val="both"/>
                    <w:rPr>
                      <w:b/>
                      <w:sz w:val="32"/>
                      <w:szCs w:val="32"/>
                      <w:u w:val="single"/>
                      <w:lang w:val="en-US"/>
                    </w:rPr>
                  </w:pPr>
                  <w:r w:rsidRPr="00FA48AC">
                    <w:rPr>
                      <w:b/>
                      <w:sz w:val="32"/>
                      <w:szCs w:val="32"/>
                      <w:u w:val="single"/>
                    </w:rPr>
                    <w:t>Класс строительных материалов – КМ</w:t>
                  </w:r>
                  <w:proofErr w:type="gramStart"/>
                  <w:r w:rsidRPr="00FA48AC">
                    <w:rPr>
                      <w:b/>
                      <w:sz w:val="32"/>
                      <w:szCs w:val="32"/>
                      <w:u w:val="single"/>
                    </w:rPr>
                    <w:t>1</w:t>
                  </w:r>
                  <w:proofErr w:type="gramEnd"/>
                </w:p>
              </w:txbxContent>
            </v:textbox>
          </v:shape>
        </w:pict>
      </w:r>
    </w:p>
    <w:p w:rsidR="00A8274F" w:rsidRDefault="00A8274F" w:rsidP="00A8274F">
      <w:pPr>
        <w:jc w:val="center"/>
        <w:rPr>
          <w:sz w:val="20"/>
          <w:szCs w:val="20"/>
        </w:rPr>
      </w:pPr>
    </w:p>
    <w:p w:rsidR="00A8274F" w:rsidRDefault="00A8274F" w:rsidP="00A8274F">
      <w:pPr>
        <w:jc w:val="center"/>
        <w:rPr>
          <w:sz w:val="20"/>
          <w:szCs w:val="20"/>
        </w:rPr>
      </w:pPr>
    </w:p>
    <w:p w:rsidR="00A8274F" w:rsidRDefault="00A8274F" w:rsidP="00A8274F">
      <w:pPr>
        <w:jc w:val="center"/>
        <w:rPr>
          <w:sz w:val="20"/>
          <w:szCs w:val="20"/>
        </w:rPr>
      </w:pPr>
    </w:p>
    <w:p w:rsidR="00A8274F" w:rsidRDefault="00A8274F" w:rsidP="00A8274F">
      <w:pPr>
        <w:jc w:val="center"/>
        <w:rPr>
          <w:sz w:val="20"/>
          <w:szCs w:val="20"/>
        </w:rPr>
      </w:pPr>
    </w:p>
    <w:p w:rsidR="00A8274F" w:rsidRDefault="00A8274F" w:rsidP="00A8274F">
      <w:pPr>
        <w:jc w:val="center"/>
        <w:rPr>
          <w:sz w:val="20"/>
          <w:szCs w:val="20"/>
        </w:rPr>
      </w:pPr>
    </w:p>
    <w:p w:rsidR="00A8274F" w:rsidRDefault="00A8274F" w:rsidP="00A8274F">
      <w:pPr>
        <w:jc w:val="center"/>
        <w:rPr>
          <w:sz w:val="20"/>
          <w:szCs w:val="20"/>
        </w:rPr>
      </w:pPr>
    </w:p>
    <w:p w:rsidR="00A8274F" w:rsidRDefault="00A8274F" w:rsidP="0039663A">
      <w:pPr>
        <w:spacing w:after="0" w:line="240" w:lineRule="auto"/>
        <w:jc w:val="center"/>
        <w:rPr>
          <w:sz w:val="20"/>
          <w:szCs w:val="20"/>
        </w:rPr>
      </w:pPr>
    </w:p>
    <w:p w:rsidR="00A8274F" w:rsidRDefault="00A8274F" w:rsidP="0039663A">
      <w:pPr>
        <w:spacing w:after="0" w:line="240" w:lineRule="auto"/>
        <w:jc w:val="center"/>
        <w:rPr>
          <w:sz w:val="20"/>
          <w:szCs w:val="20"/>
        </w:rPr>
      </w:pPr>
    </w:p>
    <w:p w:rsidR="00A8274F" w:rsidRDefault="00A8274F" w:rsidP="0039663A">
      <w:pPr>
        <w:spacing w:after="0" w:line="240" w:lineRule="auto"/>
        <w:jc w:val="center"/>
        <w:rPr>
          <w:sz w:val="20"/>
          <w:szCs w:val="20"/>
        </w:rPr>
      </w:pPr>
    </w:p>
    <w:p w:rsidR="00A8274F" w:rsidRDefault="00A8274F" w:rsidP="0039663A">
      <w:pPr>
        <w:spacing w:after="0" w:line="240" w:lineRule="auto"/>
        <w:jc w:val="center"/>
        <w:rPr>
          <w:sz w:val="20"/>
          <w:szCs w:val="20"/>
        </w:rPr>
      </w:pPr>
    </w:p>
    <w:p w:rsidR="00A8274F" w:rsidRDefault="00A8274F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9663A" w:rsidRDefault="0039663A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9663A" w:rsidRDefault="0039663A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9663A" w:rsidRDefault="0039663A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9663A" w:rsidRDefault="0039663A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9663A" w:rsidRDefault="0039663A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9663A" w:rsidRDefault="0039663A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9663A" w:rsidRDefault="0039663A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9663A" w:rsidRDefault="0039663A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9663A" w:rsidRDefault="0039663A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9663A" w:rsidRDefault="0039663A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9663A" w:rsidRDefault="0039663A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9663A" w:rsidRDefault="0039663A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9663A" w:rsidRDefault="0039663A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9663A" w:rsidRDefault="0039663A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9663A" w:rsidRDefault="0039663A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9663A" w:rsidRDefault="0039663A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9663A" w:rsidRDefault="0039663A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9663A" w:rsidRDefault="0039663A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9663A" w:rsidRDefault="0039663A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9663A" w:rsidRDefault="0039663A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39663A" w:rsidRPr="0039663A" w:rsidRDefault="0039663A" w:rsidP="0039663A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A8274F" w:rsidRPr="0039663A" w:rsidRDefault="00A8274F" w:rsidP="0039663A">
      <w:pPr>
        <w:spacing w:after="0" w:line="240" w:lineRule="auto"/>
        <w:jc w:val="center"/>
        <w:rPr>
          <w:sz w:val="24"/>
          <w:szCs w:val="24"/>
        </w:rPr>
      </w:pPr>
      <w:r w:rsidRPr="0039663A">
        <w:rPr>
          <w:sz w:val="24"/>
          <w:szCs w:val="24"/>
        </w:rPr>
        <w:lastRenderedPageBreak/>
        <w:t>Область применения декоративно-отделочных, облицовочных материалов на путях эвакуации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559"/>
        <w:gridCol w:w="1417"/>
        <w:gridCol w:w="1276"/>
      </w:tblGrid>
      <w:tr w:rsidR="00A8274F" w:rsidRPr="003833A7" w:rsidTr="0039663A">
        <w:trPr>
          <w:trHeight w:val="298"/>
        </w:trPr>
        <w:tc>
          <w:tcPr>
            <w:tcW w:w="6238" w:type="dxa"/>
            <w:vMerge w:val="restart"/>
          </w:tcPr>
          <w:p w:rsidR="00A8274F" w:rsidRPr="0089506A" w:rsidRDefault="00A8274F" w:rsidP="003966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</w:rPr>
              <w:t>Класс (подкласс) функциональной пожарной опасности здания и его описание</w:t>
            </w:r>
          </w:p>
        </w:tc>
        <w:tc>
          <w:tcPr>
            <w:tcW w:w="1559" w:type="dxa"/>
            <w:vMerge w:val="restart"/>
          </w:tcPr>
          <w:p w:rsidR="00A8274F" w:rsidRPr="0089506A" w:rsidRDefault="00A8274F" w:rsidP="003966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</w:rPr>
              <w:t>Этажность и высота здания</w:t>
            </w:r>
          </w:p>
        </w:tc>
        <w:tc>
          <w:tcPr>
            <w:tcW w:w="2693" w:type="dxa"/>
            <w:gridSpan w:val="2"/>
          </w:tcPr>
          <w:p w:rsidR="00A8274F" w:rsidRPr="0089506A" w:rsidRDefault="00A8274F" w:rsidP="002A7373">
            <w:pPr>
              <w:jc w:val="center"/>
              <w:rPr>
                <w:sz w:val="18"/>
                <w:szCs w:val="18"/>
              </w:rPr>
            </w:pPr>
            <w:r w:rsidRPr="0089506A">
              <w:rPr>
                <w:sz w:val="18"/>
                <w:szCs w:val="18"/>
              </w:rPr>
              <w:t xml:space="preserve">Класс пожарной опасности материала, не </w:t>
            </w:r>
            <w:proofErr w:type="gramStart"/>
            <w:r w:rsidRPr="0089506A">
              <w:rPr>
                <w:sz w:val="18"/>
                <w:szCs w:val="18"/>
              </w:rPr>
              <w:t>более указанного</w:t>
            </w:r>
            <w:proofErr w:type="gramEnd"/>
          </w:p>
        </w:tc>
      </w:tr>
      <w:tr w:rsidR="00A8274F" w:rsidRPr="003833A7" w:rsidTr="0039663A">
        <w:tc>
          <w:tcPr>
            <w:tcW w:w="6238" w:type="dxa"/>
            <w:vMerge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274F" w:rsidRPr="0089506A" w:rsidRDefault="00A8274F" w:rsidP="002A7373">
            <w:pPr>
              <w:jc w:val="center"/>
              <w:rPr>
                <w:sz w:val="16"/>
                <w:szCs w:val="16"/>
              </w:rPr>
            </w:pPr>
            <w:r w:rsidRPr="0089506A">
              <w:rPr>
                <w:sz w:val="16"/>
                <w:szCs w:val="16"/>
              </w:rPr>
              <w:t>Вестибюли, лестничные клетки, лифтовые холлы</w:t>
            </w:r>
          </w:p>
        </w:tc>
        <w:tc>
          <w:tcPr>
            <w:tcW w:w="1276" w:type="dxa"/>
          </w:tcPr>
          <w:p w:rsidR="00A8274F" w:rsidRPr="0089506A" w:rsidRDefault="00A8274F" w:rsidP="002A7373">
            <w:pPr>
              <w:jc w:val="center"/>
              <w:rPr>
                <w:sz w:val="16"/>
                <w:szCs w:val="16"/>
              </w:rPr>
            </w:pPr>
            <w:r w:rsidRPr="0089506A">
              <w:rPr>
                <w:sz w:val="16"/>
                <w:szCs w:val="16"/>
              </w:rPr>
              <w:t>Общие коридоры, холлы, фойе</w:t>
            </w:r>
          </w:p>
        </w:tc>
      </w:tr>
      <w:tr w:rsidR="00A8274F" w:rsidRPr="003833A7" w:rsidTr="0039663A">
        <w:tc>
          <w:tcPr>
            <w:tcW w:w="6238" w:type="dxa"/>
            <w:vMerge w:val="restart"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bookmarkStart w:id="0" w:name="i1153546"/>
            <w:r w:rsidRPr="0089506A">
              <w:rPr>
                <w:sz w:val="20"/>
                <w:szCs w:val="20"/>
                <w:highlight w:val="yellow"/>
              </w:rPr>
              <w:t>Ф 1.2</w:t>
            </w:r>
            <w:r w:rsidRPr="0089506A">
              <w:rPr>
                <w:sz w:val="20"/>
                <w:szCs w:val="20"/>
              </w:rPr>
              <w:t xml:space="preserve"> </w:t>
            </w:r>
            <w:bookmarkEnd w:id="0"/>
            <w:r w:rsidRPr="0089506A">
              <w:rPr>
                <w:sz w:val="20"/>
                <w:szCs w:val="20"/>
              </w:rPr>
              <w:t>Гостиницы, общежития, спальные корпуса санаториев и домов отдыха общего типа, кемпингов, мотелей и пансионатов;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bookmarkStart w:id="1" w:name="i1162819"/>
            <w:bookmarkStart w:id="2" w:name="OCRUncertain045"/>
            <w:bookmarkStart w:id="3" w:name="i1175264"/>
            <w:bookmarkEnd w:id="1"/>
            <w:r w:rsidRPr="0089506A">
              <w:rPr>
                <w:sz w:val="20"/>
                <w:szCs w:val="20"/>
                <w:highlight w:val="yellow"/>
              </w:rPr>
              <w:t>Ф 1.3</w:t>
            </w:r>
            <w:bookmarkEnd w:id="2"/>
            <w:r w:rsidRPr="0089506A">
              <w:rPr>
                <w:sz w:val="20"/>
                <w:szCs w:val="20"/>
              </w:rPr>
              <w:t xml:space="preserve"> </w:t>
            </w:r>
            <w:bookmarkEnd w:id="3"/>
            <w:r w:rsidRPr="0089506A">
              <w:rPr>
                <w:sz w:val="20"/>
                <w:szCs w:val="20"/>
              </w:rPr>
              <w:t xml:space="preserve">Многоквартирные жилые дома; 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bookmarkStart w:id="4" w:name="i1222544"/>
            <w:r w:rsidRPr="0089506A">
              <w:rPr>
                <w:sz w:val="20"/>
                <w:szCs w:val="20"/>
                <w:highlight w:val="yellow"/>
              </w:rPr>
              <w:t>Ф 2.3</w:t>
            </w:r>
            <w:r w:rsidRPr="0089506A">
              <w:rPr>
                <w:sz w:val="20"/>
                <w:szCs w:val="20"/>
              </w:rPr>
              <w:t xml:space="preserve"> </w:t>
            </w:r>
            <w:bookmarkEnd w:id="4"/>
            <w:r w:rsidRPr="0089506A">
              <w:rPr>
                <w:sz w:val="20"/>
                <w:szCs w:val="20"/>
              </w:rPr>
              <w:t>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на открытом воздухе;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bookmarkStart w:id="5" w:name="i1233011"/>
            <w:r w:rsidRPr="0089506A">
              <w:rPr>
                <w:sz w:val="20"/>
                <w:szCs w:val="20"/>
                <w:highlight w:val="yellow"/>
              </w:rPr>
              <w:t>Ф 2.4</w:t>
            </w:r>
            <w:r w:rsidRPr="0089506A">
              <w:rPr>
                <w:sz w:val="20"/>
                <w:szCs w:val="20"/>
              </w:rPr>
              <w:t xml:space="preserve"> </w:t>
            </w:r>
            <w:bookmarkEnd w:id="5"/>
            <w:r w:rsidRPr="0089506A">
              <w:rPr>
                <w:sz w:val="20"/>
                <w:szCs w:val="20"/>
              </w:rPr>
              <w:t>Музеи, выставки, танцевальные залы и другие подобные учреждения на открытом воздухе;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bookmarkStart w:id="6" w:name="OCRUncertain126"/>
            <w:r w:rsidRPr="0089506A">
              <w:rPr>
                <w:sz w:val="20"/>
                <w:szCs w:val="20"/>
                <w:highlight w:val="yellow"/>
              </w:rPr>
              <w:t>Ф</w:t>
            </w:r>
            <w:bookmarkEnd w:id="6"/>
            <w:r w:rsidRPr="0089506A">
              <w:rPr>
                <w:sz w:val="20"/>
                <w:szCs w:val="20"/>
                <w:highlight w:val="yellow"/>
              </w:rPr>
              <w:t xml:space="preserve"> 3.1</w:t>
            </w:r>
            <w:r w:rsidRPr="0089506A">
              <w:rPr>
                <w:sz w:val="20"/>
                <w:szCs w:val="20"/>
              </w:rPr>
              <w:t xml:space="preserve"> Предприятия торговли;</w:t>
            </w:r>
            <w:bookmarkStart w:id="7" w:name="i1272643"/>
            <w:bookmarkEnd w:id="7"/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bookmarkStart w:id="8" w:name="OCRUncertain127"/>
            <w:r w:rsidRPr="0089506A">
              <w:rPr>
                <w:sz w:val="20"/>
                <w:szCs w:val="20"/>
                <w:highlight w:val="yellow"/>
              </w:rPr>
              <w:t>Ф</w:t>
            </w:r>
            <w:bookmarkEnd w:id="8"/>
            <w:r w:rsidRPr="0089506A">
              <w:rPr>
                <w:sz w:val="20"/>
                <w:szCs w:val="20"/>
                <w:highlight w:val="yellow"/>
              </w:rPr>
              <w:t xml:space="preserve"> 3.2</w:t>
            </w:r>
            <w:r w:rsidRPr="0089506A">
              <w:rPr>
                <w:sz w:val="20"/>
                <w:szCs w:val="20"/>
              </w:rPr>
              <w:t xml:space="preserve"> Предприятия общественного питания;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3.6</w:t>
            </w:r>
            <w:r w:rsidRPr="0089506A">
              <w:rPr>
                <w:sz w:val="20"/>
                <w:szCs w:val="20"/>
              </w:rPr>
              <w:t xml:space="preserve"> Физкультурно-оздоровительные комплексы и спортивно-тренировочные учреждения без трибун для зрителей, бытовые помещения, бани;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4.2</w:t>
            </w:r>
            <w:r w:rsidRPr="0089506A">
              <w:rPr>
                <w:sz w:val="20"/>
                <w:szCs w:val="20"/>
              </w:rPr>
              <w:t xml:space="preserve"> Высшие учебные заведения, учреждения повышения квалификации;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bookmarkStart w:id="9" w:name="i1312327"/>
            <w:r w:rsidRPr="0089506A">
              <w:rPr>
                <w:sz w:val="20"/>
                <w:szCs w:val="20"/>
                <w:highlight w:val="yellow"/>
              </w:rPr>
              <w:t>Ф 4.3</w:t>
            </w:r>
            <w:r w:rsidRPr="0089506A">
              <w:rPr>
                <w:sz w:val="20"/>
                <w:szCs w:val="20"/>
              </w:rPr>
              <w:t xml:space="preserve"> </w:t>
            </w:r>
            <w:bookmarkEnd w:id="9"/>
            <w:r w:rsidRPr="0089506A">
              <w:rPr>
                <w:sz w:val="20"/>
                <w:szCs w:val="20"/>
              </w:rPr>
              <w:t>Учреждения органов управления, проектно-конструкторские организации, информационные и редакционно-издательские организации, научно-исследовательские организации, банки, конторы, офисы;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4.4</w:t>
            </w:r>
            <w:r w:rsidRPr="0089506A">
              <w:rPr>
                <w:sz w:val="20"/>
                <w:szCs w:val="20"/>
              </w:rPr>
              <w:t xml:space="preserve"> Пожарные депо;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5.1</w:t>
            </w:r>
            <w:r w:rsidRPr="0089506A">
              <w:rPr>
                <w:sz w:val="20"/>
                <w:szCs w:val="20"/>
              </w:rPr>
              <w:t xml:space="preserve"> Производственные здания и сооружения, производственные и лабораторные помещения, мастерские;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5.2</w:t>
            </w:r>
            <w:r w:rsidRPr="0089506A">
              <w:rPr>
                <w:sz w:val="20"/>
                <w:szCs w:val="20"/>
              </w:rPr>
              <w:t xml:space="preserve"> Складские здания и сооружения, стоянки для автомобилей без технического обслуживания и ремонта, книгохранилища, архивы, складские помещения;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5.3</w:t>
            </w:r>
            <w:r w:rsidRPr="0089506A">
              <w:rPr>
                <w:sz w:val="20"/>
                <w:szCs w:val="20"/>
              </w:rPr>
              <w:t xml:space="preserve"> Сельскохозяйственные здания.</w:t>
            </w:r>
          </w:p>
        </w:tc>
        <w:tc>
          <w:tcPr>
            <w:tcW w:w="1559" w:type="dxa"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</w:rPr>
              <w:t xml:space="preserve">Не более 9 этажей или 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89506A">
                <w:rPr>
                  <w:sz w:val="20"/>
                  <w:szCs w:val="20"/>
                </w:rPr>
                <w:t>28 метров</w:t>
              </w:r>
            </w:smartTag>
          </w:p>
        </w:tc>
        <w:tc>
          <w:tcPr>
            <w:tcW w:w="1417" w:type="dxa"/>
          </w:tcPr>
          <w:p w:rsidR="00A8274F" w:rsidRPr="0089506A" w:rsidRDefault="00A8274F" w:rsidP="002A7373">
            <w:pPr>
              <w:jc w:val="center"/>
              <w:rPr>
                <w:sz w:val="40"/>
                <w:szCs w:val="40"/>
              </w:rPr>
            </w:pPr>
            <w:r w:rsidRPr="0089506A">
              <w:rPr>
                <w:sz w:val="40"/>
                <w:szCs w:val="40"/>
              </w:rPr>
              <w:t>КМ</w:t>
            </w:r>
            <w:proofErr w:type="gramStart"/>
            <w:r w:rsidRPr="0089506A">
              <w:rPr>
                <w:sz w:val="40"/>
                <w:szCs w:val="40"/>
              </w:rPr>
              <w:t>2</w:t>
            </w:r>
            <w:proofErr w:type="gramEnd"/>
          </w:p>
        </w:tc>
        <w:tc>
          <w:tcPr>
            <w:tcW w:w="1276" w:type="dxa"/>
          </w:tcPr>
          <w:p w:rsidR="00A8274F" w:rsidRPr="0089506A" w:rsidRDefault="00A8274F" w:rsidP="002A7373">
            <w:pPr>
              <w:jc w:val="center"/>
              <w:rPr>
                <w:sz w:val="40"/>
                <w:szCs w:val="40"/>
              </w:rPr>
            </w:pPr>
            <w:r w:rsidRPr="0089506A">
              <w:rPr>
                <w:sz w:val="40"/>
                <w:szCs w:val="40"/>
              </w:rPr>
              <w:t>КМ3</w:t>
            </w:r>
          </w:p>
        </w:tc>
      </w:tr>
      <w:tr w:rsidR="00A8274F" w:rsidRPr="003833A7" w:rsidTr="0039663A">
        <w:tc>
          <w:tcPr>
            <w:tcW w:w="6238" w:type="dxa"/>
            <w:vMerge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</w:rPr>
              <w:t xml:space="preserve">Более 9, но не более 17 этажей или более 28, но не более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89506A">
                <w:rPr>
                  <w:sz w:val="20"/>
                  <w:szCs w:val="20"/>
                </w:rPr>
                <w:t>50 метров</w:t>
              </w:r>
            </w:smartTag>
          </w:p>
        </w:tc>
        <w:tc>
          <w:tcPr>
            <w:tcW w:w="1417" w:type="dxa"/>
          </w:tcPr>
          <w:p w:rsidR="00A8274F" w:rsidRPr="0089506A" w:rsidRDefault="00A8274F" w:rsidP="002A7373">
            <w:pPr>
              <w:jc w:val="center"/>
              <w:rPr>
                <w:sz w:val="40"/>
                <w:szCs w:val="40"/>
              </w:rPr>
            </w:pPr>
            <w:r w:rsidRPr="0089506A">
              <w:rPr>
                <w:sz w:val="40"/>
                <w:szCs w:val="40"/>
              </w:rPr>
              <w:t>КМ</w:t>
            </w:r>
            <w:proofErr w:type="gramStart"/>
            <w:r w:rsidRPr="0089506A">
              <w:rPr>
                <w:sz w:val="40"/>
                <w:szCs w:val="40"/>
              </w:rPr>
              <w:t>1</w:t>
            </w:r>
            <w:proofErr w:type="gramEnd"/>
          </w:p>
        </w:tc>
        <w:tc>
          <w:tcPr>
            <w:tcW w:w="1276" w:type="dxa"/>
          </w:tcPr>
          <w:p w:rsidR="00A8274F" w:rsidRPr="0089506A" w:rsidRDefault="00A8274F" w:rsidP="002A7373">
            <w:pPr>
              <w:jc w:val="center"/>
              <w:rPr>
                <w:sz w:val="40"/>
                <w:szCs w:val="40"/>
              </w:rPr>
            </w:pPr>
            <w:r w:rsidRPr="0089506A">
              <w:rPr>
                <w:sz w:val="40"/>
                <w:szCs w:val="40"/>
              </w:rPr>
              <w:t>КМ</w:t>
            </w:r>
            <w:proofErr w:type="gramStart"/>
            <w:r w:rsidRPr="0089506A">
              <w:rPr>
                <w:sz w:val="40"/>
                <w:szCs w:val="40"/>
              </w:rPr>
              <w:t>2</w:t>
            </w:r>
            <w:proofErr w:type="gramEnd"/>
          </w:p>
        </w:tc>
      </w:tr>
      <w:tr w:rsidR="00A8274F" w:rsidRPr="003833A7" w:rsidTr="0039663A">
        <w:tc>
          <w:tcPr>
            <w:tcW w:w="6238" w:type="dxa"/>
            <w:vMerge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</w:rPr>
              <w:t xml:space="preserve">Более 17 этажей или более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89506A">
                <w:rPr>
                  <w:sz w:val="20"/>
                  <w:szCs w:val="20"/>
                </w:rPr>
                <w:t>50 метров</w:t>
              </w:r>
            </w:smartTag>
          </w:p>
        </w:tc>
        <w:tc>
          <w:tcPr>
            <w:tcW w:w="1417" w:type="dxa"/>
          </w:tcPr>
          <w:p w:rsidR="00A8274F" w:rsidRPr="0089506A" w:rsidRDefault="00A8274F" w:rsidP="002A7373">
            <w:pPr>
              <w:jc w:val="center"/>
              <w:rPr>
                <w:sz w:val="40"/>
                <w:szCs w:val="40"/>
              </w:rPr>
            </w:pPr>
            <w:r w:rsidRPr="0089506A">
              <w:rPr>
                <w:sz w:val="40"/>
                <w:szCs w:val="40"/>
              </w:rPr>
              <w:t>КМ</w:t>
            </w:r>
            <w:proofErr w:type="gramStart"/>
            <w:r w:rsidRPr="0089506A">
              <w:rPr>
                <w:sz w:val="40"/>
                <w:szCs w:val="40"/>
              </w:rPr>
              <w:t>0</w:t>
            </w:r>
            <w:proofErr w:type="gramEnd"/>
          </w:p>
        </w:tc>
        <w:tc>
          <w:tcPr>
            <w:tcW w:w="1276" w:type="dxa"/>
          </w:tcPr>
          <w:p w:rsidR="00A8274F" w:rsidRPr="0089506A" w:rsidRDefault="00A8274F" w:rsidP="002A7373">
            <w:pPr>
              <w:jc w:val="center"/>
              <w:rPr>
                <w:sz w:val="40"/>
                <w:szCs w:val="40"/>
              </w:rPr>
            </w:pPr>
            <w:r w:rsidRPr="0089506A">
              <w:rPr>
                <w:sz w:val="40"/>
                <w:szCs w:val="40"/>
              </w:rPr>
              <w:t>КМ</w:t>
            </w:r>
            <w:proofErr w:type="gramStart"/>
            <w:r w:rsidRPr="0089506A">
              <w:rPr>
                <w:sz w:val="40"/>
                <w:szCs w:val="40"/>
              </w:rPr>
              <w:t>1</w:t>
            </w:r>
            <w:proofErr w:type="gramEnd"/>
          </w:p>
        </w:tc>
      </w:tr>
      <w:tr w:rsidR="00A8274F" w:rsidRPr="003833A7" w:rsidTr="0039663A">
        <w:tc>
          <w:tcPr>
            <w:tcW w:w="6238" w:type="dxa"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bookmarkStart w:id="10" w:name="i1144889"/>
            <w:r w:rsidRPr="0089506A">
              <w:rPr>
                <w:sz w:val="20"/>
                <w:szCs w:val="20"/>
                <w:highlight w:val="yellow"/>
              </w:rPr>
              <w:t>Ф 1.1</w:t>
            </w:r>
            <w:r w:rsidRPr="0089506A">
              <w:rPr>
                <w:sz w:val="20"/>
                <w:szCs w:val="20"/>
              </w:rPr>
              <w:t xml:space="preserve"> </w:t>
            </w:r>
            <w:bookmarkEnd w:id="10"/>
            <w:r w:rsidRPr="0089506A">
              <w:rPr>
                <w:sz w:val="20"/>
                <w:szCs w:val="20"/>
              </w:rPr>
              <w:t>Детские дошкольные учреждения, специализированные дома престарелых и инвалидов (</w:t>
            </w:r>
            <w:proofErr w:type="spellStart"/>
            <w:r w:rsidRPr="0089506A">
              <w:rPr>
                <w:sz w:val="20"/>
                <w:szCs w:val="20"/>
              </w:rPr>
              <w:t>неквартирные</w:t>
            </w:r>
            <w:proofErr w:type="spellEnd"/>
            <w:r w:rsidRPr="0089506A">
              <w:rPr>
                <w:sz w:val="20"/>
                <w:szCs w:val="20"/>
              </w:rPr>
              <w:t>), больницы, спальные корпуса школ-интернатов и детских учреждений;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2.1</w:t>
            </w:r>
            <w:r w:rsidRPr="0089506A">
              <w:rPr>
                <w:sz w:val="20"/>
                <w:szCs w:val="20"/>
              </w:rPr>
              <w:t xml:space="preserve">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2.2</w:t>
            </w:r>
            <w:r w:rsidRPr="0089506A">
              <w:rPr>
                <w:sz w:val="20"/>
                <w:szCs w:val="20"/>
              </w:rPr>
              <w:t xml:space="preserve"> Музеи, выставки, танцевальные залы и другие подобные учреждения в закрытых помещениях;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3.3</w:t>
            </w:r>
            <w:r w:rsidRPr="0089506A">
              <w:rPr>
                <w:sz w:val="20"/>
                <w:szCs w:val="20"/>
              </w:rPr>
              <w:t xml:space="preserve"> Вокзалы;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3.4</w:t>
            </w:r>
            <w:r w:rsidRPr="0089506A">
              <w:rPr>
                <w:sz w:val="20"/>
                <w:szCs w:val="20"/>
              </w:rPr>
              <w:t xml:space="preserve"> Поликлиники и амбулатории;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3.5</w:t>
            </w:r>
            <w:r w:rsidRPr="0089506A">
              <w:rPr>
                <w:sz w:val="20"/>
                <w:szCs w:val="20"/>
              </w:rPr>
              <w:t xml:space="preserve"> Помещения для посетителей предприятий бытового и коммунального обслуживания (почт, сберегательных касс, транспортных агентств, юридических консультаций, нотариальных контор, прачечных, ателье по пошиву и ремонту обуви и одежды, химической чистки, парикмахерских и других подобных, в том числе ритуальных и культовых учреждений) с нерасчетным числом посадочных мест для посетителей;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4.1</w:t>
            </w:r>
            <w:r w:rsidRPr="0089506A">
              <w:rPr>
                <w:sz w:val="20"/>
                <w:szCs w:val="20"/>
              </w:rPr>
              <w:t xml:space="preserve"> Школы, внешкольные учебные заведения, средние специальные учебные заведения, профессионально-технические училища;</w:t>
            </w:r>
          </w:p>
        </w:tc>
        <w:tc>
          <w:tcPr>
            <w:tcW w:w="1559" w:type="dxa"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</w:rPr>
              <w:t>Вне зависимости от этажности и высоты</w:t>
            </w:r>
          </w:p>
        </w:tc>
        <w:tc>
          <w:tcPr>
            <w:tcW w:w="1417" w:type="dxa"/>
          </w:tcPr>
          <w:p w:rsidR="00A8274F" w:rsidRPr="0089506A" w:rsidRDefault="00A8274F" w:rsidP="002A7373">
            <w:pPr>
              <w:jc w:val="center"/>
              <w:rPr>
                <w:sz w:val="40"/>
                <w:szCs w:val="40"/>
              </w:rPr>
            </w:pPr>
            <w:r w:rsidRPr="0089506A">
              <w:rPr>
                <w:sz w:val="40"/>
                <w:szCs w:val="40"/>
              </w:rPr>
              <w:t>КМ</w:t>
            </w:r>
            <w:proofErr w:type="gramStart"/>
            <w:r w:rsidRPr="0089506A">
              <w:rPr>
                <w:sz w:val="40"/>
                <w:szCs w:val="40"/>
              </w:rPr>
              <w:t>0</w:t>
            </w:r>
            <w:proofErr w:type="gramEnd"/>
          </w:p>
        </w:tc>
        <w:tc>
          <w:tcPr>
            <w:tcW w:w="1276" w:type="dxa"/>
          </w:tcPr>
          <w:p w:rsidR="00A8274F" w:rsidRPr="0089506A" w:rsidRDefault="00A8274F" w:rsidP="002A7373">
            <w:pPr>
              <w:jc w:val="center"/>
              <w:rPr>
                <w:sz w:val="40"/>
                <w:szCs w:val="40"/>
              </w:rPr>
            </w:pPr>
            <w:r w:rsidRPr="0089506A">
              <w:rPr>
                <w:sz w:val="40"/>
                <w:szCs w:val="40"/>
              </w:rPr>
              <w:t>КМ</w:t>
            </w:r>
            <w:proofErr w:type="gramStart"/>
            <w:r w:rsidRPr="0089506A">
              <w:rPr>
                <w:sz w:val="40"/>
                <w:szCs w:val="40"/>
              </w:rPr>
              <w:t>1</w:t>
            </w:r>
            <w:proofErr w:type="gramEnd"/>
          </w:p>
        </w:tc>
      </w:tr>
    </w:tbl>
    <w:p w:rsidR="00A8274F" w:rsidRPr="0039663A" w:rsidRDefault="00A8274F" w:rsidP="0039663A">
      <w:pPr>
        <w:spacing w:after="0" w:line="240" w:lineRule="auto"/>
        <w:jc w:val="center"/>
        <w:rPr>
          <w:sz w:val="24"/>
          <w:szCs w:val="24"/>
        </w:rPr>
      </w:pPr>
      <w:r w:rsidRPr="0039663A">
        <w:rPr>
          <w:sz w:val="24"/>
          <w:szCs w:val="24"/>
        </w:rPr>
        <w:lastRenderedPageBreak/>
        <w:t>Область применения декоративно-отделочных, облицовочных материалов  в зальных помещениях</w:t>
      </w:r>
    </w:p>
    <w:p w:rsidR="0039663A" w:rsidRPr="002E624D" w:rsidRDefault="0039663A" w:rsidP="0039663A">
      <w:pPr>
        <w:spacing w:after="0" w:line="240" w:lineRule="auto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6"/>
        <w:gridCol w:w="1861"/>
        <w:gridCol w:w="1984"/>
      </w:tblGrid>
      <w:tr w:rsidR="00A8274F" w:rsidRPr="00102829" w:rsidTr="0039663A">
        <w:trPr>
          <w:trHeight w:val="298"/>
        </w:trPr>
        <w:tc>
          <w:tcPr>
            <w:tcW w:w="6476" w:type="dxa"/>
            <w:vMerge w:val="restart"/>
          </w:tcPr>
          <w:p w:rsidR="00A8274F" w:rsidRPr="0089506A" w:rsidRDefault="00A8274F" w:rsidP="003966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</w:rPr>
              <w:t>Класс (подкласс) функциональной пожарной опасности здания и его описание</w:t>
            </w:r>
          </w:p>
        </w:tc>
        <w:tc>
          <w:tcPr>
            <w:tcW w:w="1861" w:type="dxa"/>
            <w:vMerge w:val="restart"/>
          </w:tcPr>
          <w:p w:rsidR="00A8274F" w:rsidRPr="0089506A" w:rsidRDefault="00A8274F" w:rsidP="003966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</w:rPr>
              <w:t>Вместимость зальных помещений, человек</w:t>
            </w:r>
          </w:p>
        </w:tc>
        <w:tc>
          <w:tcPr>
            <w:tcW w:w="1984" w:type="dxa"/>
          </w:tcPr>
          <w:p w:rsidR="00A8274F" w:rsidRPr="0089506A" w:rsidRDefault="00A8274F" w:rsidP="00396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506A">
              <w:rPr>
                <w:sz w:val="18"/>
                <w:szCs w:val="18"/>
              </w:rPr>
              <w:t xml:space="preserve">Класс пожарной опасности материала, не </w:t>
            </w:r>
            <w:proofErr w:type="gramStart"/>
            <w:r w:rsidRPr="0089506A">
              <w:rPr>
                <w:sz w:val="18"/>
                <w:szCs w:val="18"/>
              </w:rPr>
              <w:t>более указанного</w:t>
            </w:r>
            <w:proofErr w:type="gramEnd"/>
          </w:p>
        </w:tc>
      </w:tr>
      <w:tr w:rsidR="00A8274F" w:rsidRPr="00102829" w:rsidTr="0039663A">
        <w:tc>
          <w:tcPr>
            <w:tcW w:w="6476" w:type="dxa"/>
            <w:vMerge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8274F" w:rsidRPr="0089506A" w:rsidRDefault="00A8274F" w:rsidP="003966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9506A">
              <w:rPr>
                <w:sz w:val="16"/>
                <w:szCs w:val="16"/>
              </w:rPr>
              <w:t>Для стен и потолков</w:t>
            </w:r>
          </w:p>
        </w:tc>
      </w:tr>
      <w:tr w:rsidR="00A8274F" w:rsidRPr="00102829" w:rsidTr="0039663A">
        <w:tc>
          <w:tcPr>
            <w:tcW w:w="6476" w:type="dxa"/>
            <w:vMerge w:val="restart"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1.2</w:t>
            </w:r>
            <w:r w:rsidRPr="0089506A">
              <w:rPr>
                <w:sz w:val="20"/>
                <w:szCs w:val="20"/>
              </w:rPr>
              <w:t xml:space="preserve"> Гостиницы, общежития, спальные корпуса санаториев и домов отдыха общего типа, кемпингов, мотелей и пансионатов;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2.3</w:t>
            </w:r>
            <w:r w:rsidRPr="0089506A">
              <w:rPr>
                <w:sz w:val="20"/>
                <w:szCs w:val="20"/>
              </w:rPr>
              <w:t xml:space="preserve">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на открытом воздухе;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2.4</w:t>
            </w:r>
            <w:r w:rsidRPr="0089506A">
              <w:rPr>
                <w:sz w:val="20"/>
                <w:szCs w:val="20"/>
              </w:rPr>
              <w:t xml:space="preserve"> Музеи, выставки, танцевальные залы и другие подобные учреждения на открытом воздухе;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3.1</w:t>
            </w:r>
            <w:r w:rsidRPr="0089506A">
              <w:rPr>
                <w:sz w:val="20"/>
                <w:szCs w:val="20"/>
              </w:rPr>
              <w:t xml:space="preserve"> Предприятия торговли;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3.2</w:t>
            </w:r>
            <w:r w:rsidRPr="0089506A">
              <w:rPr>
                <w:sz w:val="20"/>
                <w:szCs w:val="20"/>
              </w:rPr>
              <w:t xml:space="preserve"> Предприятия общественного питания;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3.6</w:t>
            </w:r>
            <w:r w:rsidRPr="0089506A">
              <w:rPr>
                <w:sz w:val="20"/>
                <w:szCs w:val="20"/>
              </w:rPr>
              <w:t xml:space="preserve"> Физкультурно-оздоровительные комплексы и спортивно-тренировочные учреждения без трибун для зрителей, бытовые помещения, бани;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4.2</w:t>
            </w:r>
            <w:r w:rsidRPr="0089506A">
              <w:rPr>
                <w:sz w:val="20"/>
                <w:szCs w:val="20"/>
              </w:rPr>
              <w:t xml:space="preserve"> Высшие учебные заведения, учреждения повышения квалификации;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4.3</w:t>
            </w:r>
            <w:r w:rsidRPr="0089506A">
              <w:rPr>
                <w:sz w:val="20"/>
                <w:szCs w:val="20"/>
              </w:rPr>
              <w:t xml:space="preserve"> Учреждения органов управления, проектно-конструкторские организации, информационные и редакционно-издательские организации, научно-исследовательские организации, банки, конторы, офисы;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4.4</w:t>
            </w:r>
            <w:r w:rsidRPr="0089506A">
              <w:rPr>
                <w:sz w:val="20"/>
                <w:szCs w:val="20"/>
              </w:rPr>
              <w:t xml:space="preserve"> Пожарные депо;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5.1</w:t>
            </w:r>
            <w:r w:rsidRPr="0089506A">
              <w:rPr>
                <w:sz w:val="20"/>
                <w:szCs w:val="20"/>
              </w:rPr>
              <w:t xml:space="preserve"> Производственные здания и сооружения, производственные и лабораторные помещения, мастерские;</w:t>
            </w:r>
          </w:p>
        </w:tc>
        <w:tc>
          <w:tcPr>
            <w:tcW w:w="1861" w:type="dxa"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</w:rPr>
              <w:t>Более 800</w:t>
            </w:r>
          </w:p>
        </w:tc>
        <w:tc>
          <w:tcPr>
            <w:tcW w:w="1984" w:type="dxa"/>
          </w:tcPr>
          <w:p w:rsidR="00A8274F" w:rsidRPr="0089506A" w:rsidRDefault="00A8274F" w:rsidP="0039663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9506A">
              <w:rPr>
                <w:sz w:val="40"/>
                <w:szCs w:val="40"/>
              </w:rPr>
              <w:t>КМ</w:t>
            </w:r>
            <w:proofErr w:type="gramStart"/>
            <w:r w:rsidRPr="0089506A">
              <w:rPr>
                <w:sz w:val="40"/>
                <w:szCs w:val="40"/>
              </w:rPr>
              <w:t>0</w:t>
            </w:r>
            <w:proofErr w:type="gramEnd"/>
          </w:p>
        </w:tc>
      </w:tr>
      <w:tr w:rsidR="00A8274F" w:rsidRPr="00102829" w:rsidTr="0039663A">
        <w:trPr>
          <w:trHeight w:val="508"/>
        </w:trPr>
        <w:tc>
          <w:tcPr>
            <w:tcW w:w="6476" w:type="dxa"/>
            <w:vMerge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</w:rPr>
              <w:t>Более 300, но не более 800</w:t>
            </w:r>
          </w:p>
        </w:tc>
        <w:tc>
          <w:tcPr>
            <w:tcW w:w="1984" w:type="dxa"/>
          </w:tcPr>
          <w:p w:rsidR="00A8274F" w:rsidRPr="0089506A" w:rsidRDefault="00A8274F" w:rsidP="0039663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9506A">
              <w:rPr>
                <w:sz w:val="40"/>
                <w:szCs w:val="40"/>
              </w:rPr>
              <w:t>КМ</w:t>
            </w:r>
            <w:proofErr w:type="gramStart"/>
            <w:r w:rsidRPr="0089506A">
              <w:rPr>
                <w:sz w:val="40"/>
                <w:szCs w:val="40"/>
              </w:rPr>
              <w:t>1</w:t>
            </w:r>
            <w:proofErr w:type="gramEnd"/>
          </w:p>
        </w:tc>
      </w:tr>
      <w:tr w:rsidR="00A8274F" w:rsidRPr="00102829" w:rsidTr="0039663A">
        <w:trPr>
          <w:trHeight w:val="317"/>
        </w:trPr>
        <w:tc>
          <w:tcPr>
            <w:tcW w:w="6476" w:type="dxa"/>
            <w:vMerge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</w:rPr>
              <w:t>Более 50, но не более 300</w:t>
            </w:r>
          </w:p>
        </w:tc>
        <w:tc>
          <w:tcPr>
            <w:tcW w:w="1984" w:type="dxa"/>
          </w:tcPr>
          <w:p w:rsidR="00A8274F" w:rsidRPr="0089506A" w:rsidRDefault="00A8274F" w:rsidP="0039663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9506A">
              <w:rPr>
                <w:sz w:val="40"/>
                <w:szCs w:val="40"/>
              </w:rPr>
              <w:t>КМ</w:t>
            </w:r>
            <w:proofErr w:type="gramStart"/>
            <w:r w:rsidRPr="0089506A">
              <w:rPr>
                <w:sz w:val="40"/>
                <w:szCs w:val="40"/>
              </w:rPr>
              <w:t>2</w:t>
            </w:r>
            <w:proofErr w:type="gramEnd"/>
          </w:p>
        </w:tc>
      </w:tr>
      <w:tr w:rsidR="00A8274F" w:rsidRPr="00102829" w:rsidTr="0039663A">
        <w:trPr>
          <w:trHeight w:val="1664"/>
        </w:trPr>
        <w:tc>
          <w:tcPr>
            <w:tcW w:w="6476" w:type="dxa"/>
            <w:vMerge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</w:rPr>
              <w:t>Не более 50</w:t>
            </w:r>
          </w:p>
        </w:tc>
        <w:tc>
          <w:tcPr>
            <w:tcW w:w="1984" w:type="dxa"/>
          </w:tcPr>
          <w:p w:rsidR="00A8274F" w:rsidRPr="0089506A" w:rsidRDefault="00A8274F" w:rsidP="0039663A">
            <w:pPr>
              <w:spacing w:after="0" w:line="240" w:lineRule="auto"/>
              <w:jc w:val="center"/>
              <w:rPr>
                <w:noProof/>
                <w:sz w:val="40"/>
                <w:szCs w:val="40"/>
              </w:rPr>
            </w:pPr>
            <w:r w:rsidRPr="0089506A">
              <w:rPr>
                <w:sz w:val="40"/>
                <w:szCs w:val="40"/>
              </w:rPr>
              <w:t>КМ3</w:t>
            </w:r>
          </w:p>
        </w:tc>
      </w:tr>
      <w:tr w:rsidR="00A8274F" w:rsidRPr="00102829" w:rsidTr="0039663A">
        <w:trPr>
          <w:trHeight w:val="496"/>
        </w:trPr>
        <w:tc>
          <w:tcPr>
            <w:tcW w:w="6476" w:type="dxa"/>
            <w:vMerge w:val="restart"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1.1</w:t>
            </w:r>
            <w:r w:rsidRPr="0089506A">
              <w:rPr>
                <w:sz w:val="20"/>
                <w:szCs w:val="20"/>
              </w:rPr>
              <w:t xml:space="preserve"> Детские дошкольные учреждения, специализированные дома престарелых и инвалидов (</w:t>
            </w:r>
            <w:proofErr w:type="spellStart"/>
            <w:r w:rsidRPr="0089506A">
              <w:rPr>
                <w:sz w:val="20"/>
                <w:szCs w:val="20"/>
              </w:rPr>
              <w:t>неквартирные</w:t>
            </w:r>
            <w:proofErr w:type="spellEnd"/>
            <w:r w:rsidRPr="0089506A">
              <w:rPr>
                <w:sz w:val="20"/>
                <w:szCs w:val="20"/>
              </w:rPr>
              <w:t>), больницы, спальные корпуса школ-интернатов и детских учреждений;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2.1</w:t>
            </w:r>
            <w:r w:rsidRPr="0089506A">
              <w:rPr>
                <w:sz w:val="20"/>
                <w:szCs w:val="20"/>
              </w:rPr>
              <w:t xml:space="preserve">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2.2</w:t>
            </w:r>
            <w:r w:rsidRPr="0089506A">
              <w:rPr>
                <w:sz w:val="20"/>
                <w:szCs w:val="20"/>
              </w:rPr>
              <w:t xml:space="preserve"> Музеи, выставки, танцевальные залы и другие подобные учреждения в закрытых помещениях;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3.3</w:t>
            </w:r>
            <w:r w:rsidRPr="0089506A">
              <w:rPr>
                <w:sz w:val="20"/>
                <w:szCs w:val="20"/>
              </w:rPr>
              <w:t xml:space="preserve"> Вокзалы;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3.4</w:t>
            </w:r>
            <w:r w:rsidRPr="0089506A">
              <w:rPr>
                <w:sz w:val="20"/>
                <w:szCs w:val="20"/>
              </w:rPr>
              <w:t xml:space="preserve"> Поликлиники и амбулатории;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3.5</w:t>
            </w:r>
            <w:r w:rsidRPr="0089506A">
              <w:rPr>
                <w:sz w:val="20"/>
                <w:szCs w:val="20"/>
              </w:rPr>
              <w:t xml:space="preserve"> Помещения для посетителей предприятий бытового и коммунального обслуживания (почт, сберегательных касс, транспортных агентств, юридических консультаций, нотариальных контор, прачечных, ателье по пошиву и ремонту обуви и одежды, химической чистки, парикмахерских и других подобных, в том числе ритуальных и культовых учреждений) с нерасчетным числом посадочных мест для посетителей;</w:t>
            </w:r>
          </w:p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  <w:highlight w:val="yellow"/>
              </w:rPr>
              <w:t>Ф 4.1</w:t>
            </w:r>
            <w:r w:rsidRPr="0089506A">
              <w:rPr>
                <w:sz w:val="20"/>
                <w:szCs w:val="20"/>
              </w:rPr>
              <w:t xml:space="preserve"> Школы, внешкольные учебные заведения, средние специальные учебные заведения, профессионально-технические училища;</w:t>
            </w:r>
          </w:p>
        </w:tc>
        <w:tc>
          <w:tcPr>
            <w:tcW w:w="1861" w:type="dxa"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</w:rPr>
              <w:t>Более 300</w:t>
            </w:r>
          </w:p>
        </w:tc>
        <w:tc>
          <w:tcPr>
            <w:tcW w:w="1984" w:type="dxa"/>
          </w:tcPr>
          <w:p w:rsidR="00A8274F" w:rsidRPr="0089506A" w:rsidRDefault="00A8274F" w:rsidP="0039663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9506A">
              <w:rPr>
                <w:sz w:val="40"/>
                <w:szCs w:val="40"/>
              </w:rPr>
              <w:t>КМ</w:t>
            </w:r>
            <w:proofErr w:type="gramStart"/>
            <w:r w:rsidRPr="0089506A">
              <w:rPr>
                <w:sz w:val="40"/>
                <w:szCs w:val="40"/>
              </w:rPr>
              <w:t>0</w:t>
            </w:r>
            <w:proofErr w:type="gramEnd"/>
          </w:p>
        </w:tc>
      </w:tr>
      <w:tr w:rsidR="00A8274F" w:rsidRPr="00102829" w:rsidTr="0039663A">
        <w:trPr>
          <w:trHeight w:val="384"/>
        </w:trPr>
        <w:tc>
          <w:tcPr>
            <w:tcW w:w="6476" w:type="dxa"/>
            <w:vMerge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1" w:type="dxa"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</w:rPr>
              <w:t>Более 15, но не более 300</w:t>
            </w:r>
          </w:p>
        </w:tc>
        <w:tc>
          <w:tcPr>
            <w:tcW w:w="1984" w:type="dxa"/>
          </w:tcPr>
          <w:p w:rsidR="00A8274F" w:rsidRPr="0089506A" w:rsidRDefault="00A8274F" w:rsidP="0039663A">
            <w:pPr>
              <w:spacing w:after="0" w:line="240" w:lineRule="auto"/>
              <w:jc w:val="center"/>
              <w:rPr>
                <w:noProof/>
                <w:sz w:val="40"/>
                <w:szCs w:val="40"/>
              </w:rPr>
            </w:pPr>
            <w:r w:rsidRPr="0089506A">
              <w:rPr>
                <w:noProof/>
                <w:sz w:val="40"/>
                <w:szCs w:val="40"/>
              </w:rPr>
              <w:t>КМ1</w:t>
            </w:r>
          </w:p>
        </w:tc>
      </w:tr>
      <w:tr w:rsidR="00A8274F" w:rsidRPr="00102829" w:rsidTr="0039663A">
        <w:trPr>
          <w:trHeight w:val="2096"/>
        </w:trPr>
        <w:tc>
          <w:tcPr>
            <w:tcW w:w="6476" w:type="dxa"/>
            <w:vMerge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1" w:type="dxa"/>
          </w:tcPr>
          <w:p w:rsidR="00A8274F" w:rsidRPr="0089506A" w:rsidRDefault="00A8274F" w:rsidP="0039663A">
            <w:pPr>
              <w:spacing w:after="0" w:line="240" w:lineRule="auto"/>
              <w:rPr>
                <w:sz w:val="20"/>
                <w:szCs w:val="20"/>
              </w:rPr>
            </w:pPr>
            <w:r w:rsidRPr="0089506A">
              <w:rPr>
                <w:sz w:val="20"/>
                <w:szCs w:val="20"/>
              </w:rPr>
              <w:t>Не более 15</w:t>
            </w:r>
          </w:p>
        </w:tc>
        <w:tc>
          <w:tcPr>
            <w:tcW w:w="1984" w:type="dxa"/>
          </w:tcPr>
          <w:p w:rsidR="00A8274F" w:rsidRPr="0089506A" w:rsidRDefault="00826745" w:rsidP="0039663A">
            <w:pPr>
              <w:spacing w:after="0" w:line="240" w:lineRule="auto"/>
              <w:jc w:val="center"/>
              <w:rPr>
                <w:noProof/>
                <w:sz w:val="40"/>
                <w:szCs w:val="40"/>
              </w:rPr>
            </w:pPr>
            <w:r w:rsidRPr="0089506A">
              <w:rPr>
                <w:sz w:val="40"/>
                <w:szCs w:val="40"/>
              </w:rPr>
              <w:t>КМ3</w:t>
            </w:r>
          </w:p>
        </w:tc>
      </w:tr>
    </w:tbl>
    <w:p w:rsidR="00644809" w:rsidRDefault="00644809" w:rsidP="0039663A">
      <w:pPr>
        <w:jc w:val="both"/>
      </w:pPr>
    </w:p>
    <w:sectPr w:rsidR="00644809" w:rsidSect="00B66C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F0" w:rsidRDefault="004E21F0" w:rsidP="00770042">
      <w:pPr>
        <w:spacing w:after="0" w:line="240" w:lineRule="auto"/>
      </w:pPr>
      <w:r>
        <w:separator/>
      </w:r>
    </w:p>
  </w:endnote>
  <w:endnote w:type="continuationSeparator" w:id="0">
    <w:p w:rsidR="004E21F0" w:rsidRDefault="004E21F0" w:rsidP="0077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1A" w:rsidRDefault="00770042" w:rsidP="004F48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32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71A" w:rsidRDefault="004E21F0" w:rsidP="00851B4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1A" w:rsidRDefault="004E21F0" w:rsidP="004F48CC">
    <w:pPr>
      <w:pStyle w:val="a3"/>
      <w:framePr w:wrap="around" w:vAnchor="text" w:hAnchor="margin" w:xAlign="right" w:y="1"/>
      <w:rPr>
        <w:rStyle w:val="a5"/>
      </w:rPr>
    </w:pPr>
  </w:p>
  <w:p w:rsidR="0031171A" w:rsidRDefault="004E21F0" w:rsidP="00851B4F">
    <w:pPr>
      <w:pStyle w:val="a3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F0" w:rsidRDefault="004E21F0" w:rsidP="00770042">
      <w:pPr>
        <w:spacing w:after="0" w:line="240" w:lineRule="auto"/>
      </w:pPr>
      <w:r>
        <w:separator/>
      </w:r>
    </w:p>
  </w:footnote>
  <w:footnote w:type="continuationSeparator" w:id="0">
    <w:p w:rsidR="004E21F0" w:rsidRDefault="004E21F0" w:rsidP="00770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3E"/>
    <w:rsid w:val="00000C46"/>
    <w:rsid w:val="000A7B3E"/>
    <w:rsid w:val="0021065F"/>
    <w:rsid w:val="002C5097"/>
    <w:rsid w:val="002E624D"/>
    <w:rsid w:val="0039663A"/>
    <w:rsid w:val="004865F7"/>
    <w:rsid w:val="004E21F0"/>
    <w:rsid w:val="00546B51"/>
    <w:rsid w:val="00644809"/>
    <w:rsid w:val="006C6C02"/>
    <w:rsid w:val="00770042"/>
    <w:rsid w:val="007D3571"/>
    <w:rsid w:val="00826745"/>
    <w:rsid w:val="0083322F"/>
    <w:rsid w:val="008D08FB"/>
    <w:rsid w:val="00A8274F"/>
    <w:rsid w:val="00A8676E"/>
    <w:rsid w:val="00B66C07"/>
    <w:rsid w:val="00CD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2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82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274F"/>
  </w:style>
  <w:style w:type="paragraph" w:styleId="a6">
    <w:name w:val="Balloon Text"/>
    <w:basedOn w:val="a"/>
    <w:link w:val="a7"/>
    <w:uiPriority w:val="99"/>
    <w:semiHidden/>
    <w:unhideWhenUsed/>
    <w:rsid w:val="00A8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CEC7C-8FBB-423B-A843-691D7AA8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4</cp:revision>
  <dcterms:created xsi:type="dcterms:W3CDTF">2014-05-27T08:03:00Z</dcterms:created>
  <dcterms:modified xsi:type="dcterms:W3CDTF">2014-05-27T08:03:00Z</dcterms:modified>
</cp:coreProperties>
</file>